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BayARV (Bayern) — Flugkostenerstattung</w:t>
      </w:r>
    </w:p>
    <w:p>
      <w:r>
        <w:rPr>
          <w:color w:val="555555"/>
          <w:sz w:val="18"/>
        </w:rPr>
        <w:t xml:space="preserve">Bayerische Auslandsreisekostenverordnung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Flugreisen werden die Kosten bis zur Höhe der für das Benutzen der Business Class oder einer vergleichbaren Klasse entstehenden Kosten erstattet. Den Angehörigen ab den Besoldungsgruppen B 9 und R 9 können die Auslagen bis zur Höhe der Kosten der Ersten Klasse erstattet werden.</w:t>
      </w:r>
    </w:p>
    <w:p>
      <w:r>
        <w:rPr>
          <w:color w:val="555555"/>
          <w:sz w:val="17"/>
        </w:rPr>
        <w:t xml:space="preserve">Zitiervorschlag: § 2 BayARV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https://recht.nulegal.eu/gesetze/BayARV/2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