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BayALKISV (Bayern)</w:t>
      </w:r>
    </w:p>
    <w:p>
      <w:r>
        <w:rPr>
          <w:color w:val="555555"/>
          <w:sz w:val="18"/>
        </w:rPr>
        <w:t xml:space="preserve">Bayerische ALKIS-Abrufverordnung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3. Februar 2006</w:t>
      </w:r>
    </w:p>
    <w:p>
      <w:r>
        <w:t xml:space="preserve">Bayerisches Staatsministerium der Finanzen</w:t>
      </w:r>
    </w:p>
    <w:p>
      <w:r>
        <w:t xml:space="preserve">Prof. Dr. Kurt F a l t l h a u s e r , Staatsminister</w:t>
      </w:r>
    </w:p>
    <w:p>
      <w:r>
        <w:rPr>
          <w:color w:val="555555"/>
          <w:sz w:val="17"/>
        </w:rPr>
        <w:t xml:space="preserve">Zitiervorschlag: Schlussformel BayALKISV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https://recht.nulegal.eu/gesetze/BayALKISV/schlussformel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