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BayALKISV (Bayern)</w:t>
      </w:r>
    </w:p>
    <w:p>
      <w:r>
        <w:rPr>
          <w:color w:val="555555"/>
          <w:sz w:val="18"/>
        </w:rPr>
        <w:t xml:space="preserve">Bayerische ALKIS-Abrufverordnung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11 Abs. 2 Satz 4 des Gesetzes über die Landesvermessung und das Liegenschaftskataster – Vermessungs- und Katastergesetz – VermKatG – (BayRS 219-1-F), zuletzt geändert durch Art. 7 des Gesetzes vom 26. Juli 2005 (GVBl S. 287), erlässt das Bayerische Staatsministerium der Finanzen folgende Verordnung:</w:t>
      </w:r>
    </w:p>
    <w:p>
      <w:r>
        <w:rPr>
          <w:color w:val="555555"/>
          <w:sz w:val="17"/>
        </w:rPr>
        <w:t xml:space="preserve">Zitiervorschlag: Eingangsformel BayALKISV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https://recht.nulegal.eu/gesetze/BayALKISV/eingangsformel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