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BayALKISV (Bayern) — Datenverarbeitung</w:t>
      </w:r>
    </w:p>
    <w:p>
      <w:r>
        <w:rPr>
          <w:color w:val="555555"/>
          <w:sz w:val="18"/>
        </w:rPr>
        <w:t xml:space="preserve">Bayerische ALKIS-Abrufverordnung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Verarbeitung von personenbezogenen Daten des Liegenschaftskatasters nach § 1 Abs. 1 Nr. 2 gelten die Regelungen des § 3 Abs. 1 bis 3 entsprechend.</w:t>
      </w:r>
    </w:p>
    <w:p>
      <w:r>
        <w:rPr>
          <w:color w:val="555555"/>
          <w:sz w:val="17"/>
        </w:rPr>
        <w:t xml:space="preserve">Zitiervorschlag: § 3a BayALKISV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https://recht.nulegal.eu/gesetze/BayALKISV/3a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