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BayAGWVG (Bayern) — Beschränkung der Aufgaben und der Errichtung von Wasser- und Bodenverbänden (Zu § 2 WVG)</w:t>
      </w:r>
    </w:p>
    <w:p>
      <w:r>
        <w:rPr>
          <w:color w:val="555555"/>
          <w:sz w:val="18"/>
        </w:rPr>
        <w:t xml:space="preserve">Bayerisches Gesetz zur Ausführung des Wasserverbandsgesetzes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in § 2 Nr. 1 bis 14 des Wasserverbandsgesetzes (WVG) aufgezählten Aufgaben können nicht Aufgaben neuer Wasser- und Bodenverbände sein. Satz 1 findet für die Zwecke der Land- und Forstwirtschaft sowie des Gartenbaus keine Anwendung auf die Beschaffung und Bereitstellung von Betriebswasser</w:t>
      </w:r>
    </w:p>
    <w:p>
      <w:r>
        <w:t xml:space="preserve">1. aus Oberflächengewässern,</w:t>
      </w:r>
    </w:p>
    <w:p>
      <w:r>
        <w:t xml:space="preserve">2. aus oberflächennahem Grundwasser, soweit für die Versorgung des Verbandsgebiets weder auf Niederschlagswasser noch auf Oberflächengewässer zurückgegriffen werden kann,</w:t>
      </w:r>
    </w:p>
    <w:p>
      <w:r>
        <w:t xml:space="preserve">solange eine gewässerschonende Entnahme möglich ist und der Bedarf der öffentlichen Trinkwasserversorgung vorrangig gedeckt wird. Ist eine Gemeinde Verbandsmitglied, findet Satz 1 zudem auf die Beschaffung und Bereitstellung von Betriebswasser zur Bewässerung von öffentlichen Grünflächen und öffentlichen Sportplätzen keine Anwendung. Satz 1 findet keine Anwendung zum Zweck des gezielten Wasserrückhalts in der Fläche. Satz 1 findet ferner keine Anwendung auf die Unterhaltung von Gewässern zum Zweck des Moorbodenschutzes.</w:t>
      </w:r>
    </w:p>
    <w:p>
      <w:r>
        <w:t xml:space="preserve">(2) Die Aufgaben bestehender Wasser- und Bodenverbände im bisherigen Umfang bleiben unberührt. Im Übrigen gilt Abs. 1 entsprechend.</w:t>
      </w:r>
    </w:p>
    <w:p>
      <w:r>
        <w:t xml:space="preserve">(3) Die Wasser- und Bodenverbände haben bei der Erfüllung ihrer Aufgaben die Ziele und Grundsätze des Naturschutzes und der Landschaftspflege zu berücksichtigen.</w:t>
      </w:r>
    </w:p>
    <w:p>
      <w:r>
        <w:rPr>
          <w:color w:val="555555"/>
          <w:sz w:val="17"/>
        </w:rPr>
        <w:t xml:space="preserve">Zitiervorschlag: Art 1 BayAGWVG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https://recht.nulegal.eu/gesetze/BayAGWVG/1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BayAGWVG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