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BayAGTierNebG (Bayern) — Inkrafttreten</w:t>
      </w:r>
    </w:p>
    <w:p>
      <w:r>
        <w:rPr>
          <w:color w:val="555555"/>
          <w:sz w:val="18"/>
        </w:rPr>
        <w:t xml:space="preserve">Gesetz zur Ausführung des Tierische Nebenprodukte-Beseitigungsgesetzes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Dieses Gesetz tritt mit Wirkung vom 1. Januar 1978 in Kraft.</w:t>
      </w:r>
    </w:p>
    <w:p>
      <w:r>
        <w:t xml:space="preserve">(2) Abweichend von Absatz 1 treten Art. 1 Abs. 1, Art.2 Abs. 1 Nrn. 2 und 4, Art.4 Abs. 1 Satz 2 und Art. 5 Abs. 2 mit Wirkung vom 7. September 1976 in Kraft.</w:t>
      </w:r>
    </w:p>
    <w:p>
      <w:r>
        <w:t xml:space="preserve">[Amtl. Anm.:] Betrifft die ursprüngliche Fassung vom 11. August 1978 (GVBl. S. 525).</w:t>
      </w:r>
    </w:p>
    <w:p>
      <w:r>
        <w:rPr>
          <w:color w:val="555555"/>
          <w:sz w:val="17"/>
        </w:rPr>
        <w:t xml:space="preserve">Zitiervorschlag: Art 3 BayAGTierNebG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https://recht.nulegal.eu/gesetze/BayAGTierNebG/3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