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BayAGTierNebG (Bayern) — Beseitigungspflichtige</w:t>
      </w:r>
    </w:p>
    <w:p>
      <w:r>
        <w:rPr>
          <w:color w:val="555555"/>
          <w:sz w:val="18"/>
        </w:rPr>
        <w:t xml:space="preserve">Gesetz zur Ausführung des Tierische Nebenprodukte-Beseitigungsgesetzes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Landkreise und kreisfreien Gemeinden sind beseitigungspflichtige Körperschaften im Sinn von § 3 Abs. 1 Satz 1 des Tierische Nebenprodukte-Beseitigungsgesetzes (TierNebG). Sie erfüllen damit eine Pflichtaufgabe im eigenen Wirkungskreis.</w:t>
      </w:r>
    </w:p>
    <w:p>
      <w:r>
        <w:t xml:space="preserve">(2) Die Einzugsbereiche nach § 6 Abs. 1 TierNebG werden wie folgt bestimmt: Die Landkreise und kreisfreien Gemeinden bestimmen für ihr eigenes Gebiet durch Rechtsverordnung, bei welchem Betrieb (Verarbeitungsbetrieb, Verbrennungsanlage oder Mitverbrennungsanlage) sie ihrer Beseitigungspflicht nach Absatz 1 nachkommen. Dabei sind insbesondere der Tierbestand, der Anfall der Konfiskate und Schlachtabfälle, die Verkehrsverhältnisse sowie die Leistungsfähigkeit des Betriebs zu berücksichtigen. Sie können die Einzugsbereiche für tierische Nebenprodukte der Kategorie 1 und 2 im Sinn der Verordnung (EG) Nr. 1069/2009 unterschiedlich festsetzen.</w:t>
      </w:r>
    </w:p>
    <w:p>
      <w:r>
        <w:t xml:space="preserve">(3) Die Landkreise und kreisfreien Gemeinden haben bei der Festlegung der Einzugsbereiche sicherzustellen, daß eine ordnungsgemäße Beseitigung in einem leistungsfähigen Betrieb gewährleistet ist.</w:t>
      </w:r>
    </w:p>
    <w:p>
      <w:r>
        <w:t xml:space="preserve">(4) Rechtsverordnungen nach Abs. 2 dürfen frühestens vier Wochen nach ihrer Vorlage bei der Rechtsaufsichtsbehörde in Kraft treten.</w:t>
      </w:r>
    </w:p>
    <w:p>
      <w:r>
        <w:rPr>
          <w:color w:val="555555"/>
          <w:sz w:val="17"/>
        </w:rPr>
        <w:t xml:space="preserve">Zitiervorschlag: Art 1 BayAGTierNebG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https://recht.nulegal.eu/gesetze/BayAGTierNebG/1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BayAGTierNebG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