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BayAGPIDV (Bayern)</w:t>
      </w:r>
    </w:p>
    <w:p>
      <w:r>
        <w:rPr>
          <w:color w:val="555555"/>
          <w:sz w:val="18"/>
        </w:rPr>
        <w:t xml:space="preserve">Gesetz zur Ausführung der Präimplantationsdiagnostikverordnung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BayAGPIDV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https://recht.nulegal.eu/gesetze/BayAGPIDV/eingangsformel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