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BayÖPNVG (Bayern) — Bedienungsstandard</w:t>
      </w:r>
    </w:p>
    <w:p>
      <w:r>
        <w:rPr>
          <w:color w:val="555555"/>
          <w:sz w:val="18"/>
        </w:rPr>
        <w:t xml:space="preserve">Gesetz über den öffentlichen Personennahverkehr in Bayern</w:t>
      </w:r>
    </w:p>
    <w:p>
      <w:r>
        <w:rPr>
          <w:color w:val="555555"/>
          <w:sz w:val="18"/>
        </w:rPr>
        <w:t xml:space="preserve">Landesrecht Bayern</w:t>
      </w:r>
    </w:p>
    <w:p>
      <w:r>
        <w:rPr>
          <w:color w:val="555555"/>
          <w:sz w:val="18"/>
        </w:rPr>
        <w:t xml:space="preserve">Stand: 25.08.2026 (konsolidierte Textfassung, kein amtliches Inkrafttretensdatum)</w:t>
      </w:r>
    </w:p>
    <w:p>
      <w:r>
        <w:t xml:space="preserve">(1) Um eine angemessene Erschließung mit öffentlichen Verkehrsmitteln sicherzustellen, soll die Bedienung unter Berücksichtigung des Grundsatzes der Wirtschaftlichkeit und Sparsamkeit auf die Bedürfnisse der Bevölkerung und die Erfordernisse des örtlichen und überörtlichen Verkehrs ausgerichtet werden.</w:t>
      </w:r>
    </w:p>
    <w:p>
      <w:r>
        <w:t xml:space="preserve">(2) In Verdichtungsräumen sowie in ländlichen Stadt- und Umlandbereichen ist grundsätzlich ein nachfrageorientierter Bedienungstakt vorzusehen. Dieser soll auch an Samstagen, Sonntagen und Feiertagen angeboten werden. Der Bedienungsstandard nach den Sätzen 1 und 2 soll im Rahmen der finanziellen Leistungsfähigkeit mit abgestuften Bedienungskonzepten auch in den übrigen ländlichen Gebieten angeboten werden.</w:t>
      </w:r>
    </w:p>
    <w:p>
      <w:r>
        <w:t xml:space="preserve">(3) Der Schienenpersonennahverkehr ist so zu planen, daß auf der Basis eines grundsätzlich am Bedarf orientierten Integralen Taktfahrplans landesweit vergleichbare Bedienungsstandards, insbesondere ein vergleichbares Fahrplanangebot unter besonderer Berücksichtigung der verschiedenen verkehrlichen Bedürfnisse in den Verdichtungsräumen und im ländlichen Raum erreicht werden. Fahrpläne und Tarife des allgemeinen öffentlichen Personennahverkehrs und des Schienenpersonennahverkehrs sollen aufeinander abgestimmt werden.</w:t>
      </w:r>
    </w:p>
    <w:p>
      <w:r>
        <w:rPr>
          <w:color w:val="555555"/>
          <w:sz w:val="17"/>
        </w:rPr>
        <w:t xml:space="preserve">Zitiervorschlag: Art 5 BayÖPNVG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https://recht.nulegal.eu/gesetze/Bay%C3%96PNVG/5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