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29 BayÖPNVG (Bayern) — Grundsatz</w:t>
      </w:r>
    </w:p>
    <w:p>
      <w:r>
        <w:rPr>
          <w:color w:val="555555"/>
          <w:sz w:val="18"/>
        </w:rPr>
        <w:t xml:space="preserve">Gesetz über den öffentlichen Personennahverkehr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Freistaat Bayern trägt die Kostendeckungsfehlbeträge für gemeinwirtschaftliche Verkehrsleistungen des Schienenpersonennahverkehrs in Bayern gemäß § 4 RegG, soweit die Verkehrsleistungen gemäß Art. 16 Abs. 3 durch die Bayerische Eisenbahngesellschaft vertraglich vereinbart oder durch das Staatsministerium auferlegt worden sind, aus dem nach § 5 RegG zur Verfügung gestellten Mittelkontingent.</w:t>
      </w:r>
    </w:p>
    <w:p>
      <w:r>
        <w:t xml:space="preserve">(2) Soweit gemeinwirtschaftliche Verkehrsleistungen des Schienenpersonennahverkehrs, welche die Bayerische Eisenbahngesellschaft bei der Fahrplanabstimmung gemäß Art. 18 Abs. 2 nicht berücksichtigt hat, vertraglich vereinbart oder auferlegt werden, trägt die Kostendeckungsfehlbeträge der Aufgabenträger des allgemeinen öffentlichen Personennahverkehrs, auf dessen Verlangen sie vertraglich vereinbart oder auferlegt wurden.</w:t>
      </w:r>
    </w:p>
    <w:p>
      <w:r>
        <w:t xml:space="preserve">(3) Die Bestimmungen über Investitionshilfen (Art. 21) gelten entsprechend für Investitionen beim Bau oder Ausbau von Verkehrsanlagen der S-Bahnen.</w:t>
      </w:r>
    </w:p>
    <w:p>
      <w:r>
        <w:rPr>
          <w:color w:val="555555"/>
          <w:sz w:val="17"/>
        </w:rPr>
        <w:t xml:space="preserve">Zitiervorschlag: Art 29 BayÖPNVG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https://recht.nulegal.eu/gesetze/Bay%C3%96PNVG/29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29 BayÖPNVG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