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27 BayÖPNVG (Bayern) — ÖPNV-Zuweisungen</w:t>
      </w:r>
    </w:p>
    <w:p>
      <w:r>
        <w:rPr>
          <w:color w:val="555555"/>
          <w:sz w:val="18"/>
        </w:rPr>
        <w:t xml:space="preserve">Gesetz über den öffentlichen Personennahverkehr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Freistaat Bayern gewährt den Aufgabenträgern des allgemeinen öffentlichen Personennahverkehrs Zuweisungen für Zwecke des öffentlichen Personennahverkehrs. Diese Mittel können insbesondere verwandt werden</w:t>
      </w:r>
    </w:p>
    <w:p>
      <w:r>
        <w:t xml:space="preserve">1. zur Finanzierung von Ausgleichsleistungen für die Erbringung gemeinwirtschaftlicher Verpflichtungen, die sich auf das Angebot, Tarife, einschließlich Gemeinschaftstarifen, den Vertrieb oder die Qualität des ÖPNV beziehen,</w:t>
      </w:r>
    </w:p>
    <w:p>
      <w:r>
        <w:t xml:space="preserve">2. zur Einrichtung und Verdichtung von Taktverkehren,</w:t>
      </w:r>
    </w:p>
    <w:p>
      <w:r>
        <w:t xml:space="preserve">3. zur Ausweitung von Bedienzeiträumen,</w:t>
      </w:r>
    </w:p>
    <w:p>
      <w:r>
        <w:t xml:space="preserve">4. zur Einführung oder Erweiterung von ergänzenden Bedienformen oder</w:t>
      </w:r>
    </w:p>
    <w:p>
      <w:r>
        <w:t xml:space="preserve">5. für die Vorhaltung, Erneuerung, Erweiterung oder Dekarbonisierung der Fahrzeugflotte und die dafür erforderlichen Anlagen.</w:t>
      </w:r>
    </w:p>
    <w:p>
      <w:r>
        <w:rPr>
          <w:color w:val="555555"/>
          <w:sz w:val="17"/>
        </w:rPr>
        <w:t xml:space="preserve">Zitiervorschlag: Art 27 BayÖPNVG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https://recht.nulegal.eu/gesetze/Bay%C3%96PNVG/27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