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21 BayÖPNVG (Bayern) — Investitionshilfen</w:t>
      </w:r>
    </w:p>
    <w:p>
      <w:r>
        <w:rPr>
          <w:color w:val="555555"/>
          <w:sz w:val="18"/>
        </w:rPr>
        <w:t xml:space="preserve">Gesetz über den öffentlichen Personennahverkehr in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Freistaat Bayern gewährt den Aufgabenträgern und Verkehrsunternehmen zur Förderung von Investitionen des allgemeinen öffentlichen Personennahverkehrs Zuwendungen nach Art. 13c Abs. 2 des Bayerischen Finanzausgleichsgesetzes (BayFAG).</w:t>
      </w:r>
    </w:p>
    <w:p>
      <w:r>
        <w:t xml:space="preserve">(2) Die Mittel sind zur Sicherung der Komplementärfinanzierung von Bau- oder Ausbauvorhaben des allgemeinen öffentlichen Personennahverkehrs einzusetzen, die nach dem Gemeindeverkehrsfinanzierungsgesetz oder nach dem Bayerischen Gemeindeverkehrsfinanzierungsgesetz gefördert werden.</w:t>
      </w:r>
    </w:p>
    <w:p>
      <w:r>
        <w:t xml:space="preserve">(3) Die Fördervoraussetzungen gelten als erfüllt, wenn die Voraussetzungen für eine Förderung nach dem Gemeindeverkehrsfinanzierungsgesetz oder dem Bayerischen Gemeindeverkehrsfinanzierungsgesetz vorliegen.</w:t>
      </w:r>
    </w:p>
    <w:p>
      <w:r>
        <w:t xml:space="preserve">(4) Die Kosten für ein nach Abs. 3 förderfähiges Vorhaben gelten in dem Umfang als zuwendungsfähig, in dem sie nach dem Gemeindeverkehrsfinanzierungsgesetz oder dem Bayerischen Gemeindeverkehrsfinanzierungsgesetz und deren Ausführungsbestimmungen zuwendungsfähig sind.</w:t>
      </w:r>
    </w:p>
    <w:p>
      <w:r>
        <w:rPr>
          <w:color w:val="555555"/>
          <w:sz w:val="17"/>
        </w:rPr>
        <w:t xml:space="preserve">Zitiervorschlag: Art 21 BayÖPNVG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https://recht.nulegal.eu/gesetze/Bay%C3%96PNVG/21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