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BayÖPNVG (Bayern) — Grundsatz</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Kostendeckungsfehlbeträge des allgemeinen öffentlichen Personennahverkehrs tragen die Aufgabenträger, soweit sie selbst Leistungen erbringen oder diese in ihrem Auftrag erbracht werden. Soweit ein Landkreis mit Zustimmung einer Gemeinde einzelne Aufgaben im Sinn von Art. 9 Abs. 1 durchführt, hat die Gemeinde auf Verlangen des Landkreises diese Kosten zu tragen. Auf Wunsch kreisangehöriger Gemeinden kann ein Landkreis zusätzliche Leistungen anbieten, sofern die betroffenen Gemeinden durch Vereinbarung die dadurch entstehenden Kosten übernehmen.</w:t>
      </w:r>
    </w:p>
    <w:p>
      <w:r>
        <w:t xml:space="preserve">(2) Erbringt ein Aufgabenträger im Weg der gegenseitigen Vereinbarung Leistungen des allgemeinen öffentlichen Personennahverkehrs im Gebiet eines anderen Aufgabenträgers, so soll jeder Aufgabenträger von den entstehenden Kostendeckungsfehlbeträgen den sein Gebiet betreffenden Anteil tragen.</w:t>
      </w:r>
    </w:p>
    <w:p>
      <w:r>
        <w:rPr>
          <w:color w:val="555555"/>
          <w:sz w:val="17"/>
        </w:rPr>
        <w:t xml:space="preserve">Zitiervorschlag: Art 19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