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18 BayÖPNVG (Bayern) — Mitwirkung der Aufgabenträger für den allgemeinen Personennahverkehr</w:t>
      </w:r>
    </w:p>
    <w:p>
      <w:r>
        <w:rPr>
          <w:color w:val="555555"/>
          <w:sz w:val="18"/>
        </w:rPr>
        <w:t xml:space="preserve">Gesetz über den öffentlichen Personennahverkehr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Aufgabenträger für den allgemeinen öffentlichen Personennahverkehr sind an der Fahrplangestaltung im Schienenpersonennahverkehr zu beteiligen, soweit ihr örtlicher Zuständigkeitsbereich berührt ist.</w:t>
      </w:r>
    </w:p>
    <w:p>
      <w:r>
        <w:t xml:space="preserve">(2) Das durch die Bayerische Eisenbahngesellschaft zu erarbeitende Fahrplankonzept wird im Benehmen mit den Aufgabenträgern nach Abs. 1 aufgestellt. Dabei sollen Fahrplankonzept und Nahverkehrspläne (Art. 13) aufeinander abgestimmt werden.</w:t>
      </w:r>
    </w:p>
    <w:p>
      <w:r>
        <w:rPr>
          <w:color w:val="555555"/>
          <w:sz w:val="17"/>
        </w:rPr>
        <w:t xml:space="preserve">Zitiervorschlag: Art 18 BayÖPNVG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https://recht.nulegal.eu/gesetze/Bay%C3%96PNVG/18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18 BayÖPNVG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