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14 BayÖPNVG (Bayern) — ÖPNV-Investitionsplan</w:t>
      </w:r>
    </w:p>
    <w:p>
      <w:r>
        <w:rPr>
          <w:color w:val="555555"/>
          <w:sz w:val="18"/>
        </w:rPr>
        <w:t xml:space="preserve">Gesetz über den öffentlichen Personennahverkehr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ÖPNV-Investitionsplan sind die innerhalb der jeweils fünf folgenden Jahre anfallenden oder geplanten Investitionen für Zwecke des öffentlichen Personennahverkehrs einschließlich der im Voraus ermittelten Kosten darzustellen, getrennt nach</w:t>
      </w:r>
    </w:p>
    <w:p>
      <w:r>
        <w:t xml:space="preserve">1. Umsteigeparkplätzen zur Verringerung des motorisierten Individualverkehrs (Art. 2 Nr. 1 Buchst. e des Bayerischen Gemeindeverkehrsfinanzierungsgesetzes – BayGVFG),</w:t>
      </w:r>
    </w:p>
    <w:p>
      <w:r>
        <w:t xml:space="preserve">2. Verkehrswegen der Straßenbahnen, Hoch- und Untergrundbahnen sowie Bahnen besonderer Bauart und nichtbundeseigenen Eisenbahnen (Art. 2 Nr. 2 BayGVFG),</w:t>
      </w:r>
    </w:p>
    <w:p>
      <w:r>
        <w:t xml:space="preserve">3. Umsteigeanlagen, zentralen Omnibusbahnhöfen und Haltestelleneinrichtungen sowie Betriebshöfen und zentralen Werkstätten (Art. 2 Nr. 3 BayGVFG),</w:t>
      </w:r>
    </w:p>
    <w:p>
      <w:r>
        <w:t xml:space="preserve">4. Beschleunigungsmaßnahmen (Art. 2 Nr. 4 BayGVFG),</w:t>
      </w:r>
    </w:p>
    <w:p>
      <w:r>
        <w:t xml:space="preserve">5. Kreuzungsmaßnahmen nach dem Eisenbahnkreuzungsgesetz oder dem Bundeswasserstraßengesetz, soweit nichtbundeseigene Eisenbahnen betroffen sind (Art. 2 Nr. 5 BayGVFG),</w:t>
      </w:r>
    </w:p>
    <w:p>
      <w:r>
        <w:t xml:space="preserve">6. Beschaffung von Linienomnibussen, Gelenkomnibussen, Tank- und Ladeinfrastruktur für alternative Antriebe sowie von Schienenfahrzeugen (Art. 2 Nr. 6 BayGVFG).</w:t>
      </w:r>
    </w:p>
    <w:p>
      <w:r>
        <w:t xml:space="preserve">(2) Soweit erforderlich sind in den ÖPNV-Investitionsplan in Ergänzung des Nahverkehrsplans auch Angaben über bestehende und geplante Verkehrskooperationen sowie Erweiterungen des Linienangebots aufzunehmen. Nachrichtlich sind geplante Investitionen der vorhandenen Verkehrsunternehmen darzustellen.</w:t>
      </w:r>
    </w:p>
    <w:p>
      <w:r>
        <w:t xml:space="preserve">(3) Der ÖPNV-Investitionsplan ist der Aufsichtsbehörde jeweils bis zum 1. Februar des Jahres vorzulegen, in dem der Investitionszeitraum beginnt. Die Aufsichtsbehörde leitet den ÖPNV-Investitionsplan unverzüglich an das Staatsministerium weiter.</w:t>
      </w:r>
    </w:p>
    <w:p>
      <w:r>
        <w:rPr>
          <w:color w:val="555555"/>
          <w:sz w:val="17"/>
        </w:rPr>
        <w:t xml:space="preserve">Zitiervorschlag: Art 14 BayÖPNVG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https://recht.nulegal.eu/gesetze/Bay%C3%96PNVG/14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14 BayÖPNVG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