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BayÖPNVG (Bayern) — Nahverkehrsplan</w:t>
      </w:r>
    </w:p>
    <w:p>
      <w:r>
        <w:rPr>
          <w:color w:val="555555"/>
          <w:sz w:val="18"/>
        </w:rPr>
        <w:t xml:space="preserve">Gesetz über den öffentlichen Personennahverkehr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Aufgabenträger des allgemeinen öffentlichen Personennahverkehrs können auf ihrem Gebiet und, sofern nach Art. 6 Abs. 1 Satz 1 ein regionaler Nahverkehrsraum abgegrenzt worden ist, für diesen Nahverkehrsraum Planungen zur Sicherung und zur Verbesserung des öffentlichen Personennahverkehrs gemäß den Anforderungen dieses Gesetzes durchführen. Für die vorhandenen Verkehrsunternehmen ist dabei eine angemessene Mitwirkung sicherzustellen. Dabei sind insbesondere</w:t>
      </w:r>
    </w:p>
    <w:p>
      <w:r>
        <w:t xml:space="preserve">1. die im Nahverkehrsraum vorhandenen Verkehrseinrichtungen zu erfassen,</w:t>
      </w:r>
    </w:p>
    <w:p>
      <w:r>
        <w:t xml:space="preserve">2. das künftig zu erwartende Verkehrsaufkommen im motorisierten Individualverkehr und im öffentlichen Personennahverkehr auf Schiene und Straße zu prognostizieren,</w:t>
      </w:r>
    </w:p>
    <w:p>
      <w:r>
        <w:t xml:space="preserve">3. Zielvorstellungen über das künftig anzustrebende Verkehrsaufkommen im öffentlichen Personennahverkehr auf Schiene und Straße zu entwickeln und</w:t>
      </w:r>
    </w:p>
    <w:p>
      <w:r>
        <w:t xml:space="preserve">4. planerische Maßnahmen vorzusehen, die eine bestmögliche Gestaltung des öffentlichen Personennahverkehrs unter Berücksichtigung der Belange des Gesamtverkehrs zulassen.</w:t>
      </w:r>
    </w:p>
    <w:p>
      <w:r>
        <w:t xml:space="preserve">(2) Der Nahverkehrsplan enthält Ziele und Konzeption des allgemeinen öffentlichen Personennahverkehrs und muß mit den anerkannten Grundsätzen der Nahverkehrsplanung, den Erfordernissen der Raumordnung und Landesplanung, der Städtebauplanung, den Belangen des Umweltschutzes sowie mit den Grundsätzen der Wirtschaftlichkeit und Sparsamkeit übereinstimmen. Soweit erforderlich ist die Planung mit anderen Planungsträgern sowie anderen Aufgabenträgern des ÖPNV abzustimmen. Der Nahverkehrsplan ist in regelmäßigen Zeitabständen zu überprüfen und bei Bedarf fortzuschreiben.</w:t>
      </w:r>
    </w:p>
    <w:p>
      <w:r>
        <w:rPr>
          <w:color w:val="555555"/>
          <w:sz w:val="17"/>
        </w:rPr>
        <w:t xml:space="preserve">Zitiervorschlag: Art 13 BayÖPNVG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https://recht.nulegal.eu/gesetze/Bay%C3%96PNVG/13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