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BayÖPNVG (Bayern) — Begriffsbestimmung</w:t>
      </w:r>
    </w:p>
    <w:p>
      <w:r>
        <w:rPr>
          <w:color w:val="555555"/>
          <w:sz w:val="18"/>
        </w:rPr>
        <w:t xml:space="preserve">Gesetz über den öffentlichen Personennahverkehr in Bayern</w:t>
      </w:r>
    </w:p>
    <w:p>
      <w:r>
        <w:rPr>
          <w:color w:val="555555"/>
          <w:sz w:val="18"/>
        </w:rPr>
        <w:t xml:space="preserve">Landesrecht Bayern</w:t>
      </w:r>
    </w:p>
    <w:p>
      <w:r>
        <w:rPr>
          <w:color w:val="555555"/>
          <w:sz w:val="18"/>
        </w:rPr>
        <w:t xml:space="preserve">Stand: 25.08.2026 (konsolidierte Textfassung, kein amtliches Inkrafttretensdatum)</w:t>
      </w:r>
    </w:p>
    <w:p>
      <w:r>
        <w:t xml:space="preserve">(1) Öffentlicher Personennahverkehr (ÖPNV) im Sinn dieses Gesetzes ist die allgemein zugängliche Beförderung von Personen mit Verkehrsmitteln im Linienverkehr, die überwiegend dazu bestimmt sind, die Verkehrsnachfrage im Stadt-, Vorort- oder Regionalverkehr zu befriedigen. Das ist im Zweifel der Fall, wenn in der Mehrzahl der Beförderungsfälle eines Verkehrsmittels die gesamte Reiseweite 50 km oder die gesamte Reisezeit eine Stunde in der Regel nicht übersteigt. Der öffentliche Personennahverkehr gliedert sich in den allgemeinen öffentlichen Personennahverkehr und den Schienenpersonennahverkehr (SPNV).</w:t>
      </w:r>
    </w:p>
    <w:p>
      <w:r>
        <w:t xml:space="preserve">(2) Zum allgemeinen öffentlichen Personennahverkehr zählt die Beförderung insbesondere mit Straßenbahnen, Hoch- und Untergrundbahnen, Bahnen besonderer Bauart sowie Omnibussen und Kraftfahrzeugen im Linienverkehr. Schienenpersonennahverkehr ist unter den Voraussetzungen des Abs. 1 die Beförderung in Zügen der Eisenbahnen.</w:t>
      </w:r>
    </w:p>
    <w:p>
      <w:r>
        <w:t xml:space="preserve">(3) Allgemeiner öffentlicher Personennahverkehr ist auch der Verkehr mit Taxen oder Mietwagen, der Verkehre der in den Absätzen 1 und 2 genannten Art ersetzt, ergänzt oder verdichtet.</w:t>
      </w:r>
    </w:p>
    <w:p>
      <w:r>
        <w:rPr>
          <w:color w:val="555555"/>
          <w:sz w:val="17"/>
        </w:rPr>
        <w:t xml:space="preserve">Zitiervorschlag: Art 1 BayÖPNVG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https://recht.nulegal.eu/gesetze/Bay%C3%96PNVG/1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