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4 BauwAbdAusbV — Gliederung der Berufsausbildung</w:t>
      </w:r>
    </w:p>
    <w:p>
      <w:r>
        <w:rPr>
          <w:color w:val="555555"/>
          <w:sz w:val="18"/>
        </w:rPr>
        <w:t xml:space="preserve">Verordnung über die Berufsausbildung zum Bauwerksabdichter/zur Bauwerksabdichterin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In der Berufsausbildung sind in überbetrieblichen oder in geeigneten betrieblichen Ausbildungsstätten zu vermitteln:</w:t>
      </w:r>
    </w:p>
    <w:p>
      <w:pPr>
        <w:ind w:left="420"/>
      </w:pPr>
      <w:r>
        <w:t xml:space="preserve">1. im ersten Ausbildungsjahr in fünf Wochen insbesondere die in der Anlage Abschnitt I unter den laufenden Nummern 6, 7, 10 und 11 aufgeführten Fertigkeiten und Kenntnisse,</w:t>
      </w:r>
    </w:p>
    <w:p>
      <w:pPr>
        <w:ind w:left="420"/>
      </w:pPr>
      <w:r>
        <w:t xml:space="preserve">2. im zweiten Ausbildungsjahr in sieben Wochen insbesondere die in der Anlage Abschnitt II unter den laufenden Nummern 3, 4 und 5 Buchstabe a bis h sowie der laufenden Nummer 6 Buchstabe a bis c aufgeführten Fertigkeiten und Kenntnisse,</w:t>
      </w:r>
    </w:p>
    <w:p>
      <w:pPr>
        <w:ind w:left="420"/>
      </w:pPr>
      <w:r>
        <w:t xml:space="preserve">3. im dritten Ausbildungsjahr in sechs Wochen insbesondere die in der Anlage Abschnitt II unter den laufenden Nummern 2 und 5 Buchstabe l bis n, der laufenden Nummer 6 Buchstabe d bis m sowie der laufenden Nummer 7 aufgeführten Fertigkeiten und Kenntnisse.</w:t>
      </w:r>
    </w:p>
    <w:p>
      <w:r>
        <w:t xml:space="preserve">(2) Der Urlaub ist jeweils auf die Dauer der Berufsausbildung in der betrieblichen Ausbildungsstätte anzurechnen.</w:t>
      </w:r>
    </w:p>
    <w:p>
      <w:r>
        <w:rPr>
          <w:color w:val="555555"/>
          <w:sz w:val="17"/>
        </w:rPr>
        <w:t xml:space="preserve">Zitiervorschlag: § 4 BauwAbdAusbV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https://recht.nulegal.eu/gesetze/BauwAbdAusbV/4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