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 BautechKonAusbV — Mündliche Ergänzungsprüfung</w:t>
      </w:r>
    </w:p>
    <w:p>
      <w:r>
        <w:rPr>
          <w:color w:val="555555"/>
          <w:sz w:val="18"/>
        </w:rPr>
        <w:t xml:space="preserve">Bautechnikkonstrukteur-Ausbildungsverordnung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Prüfling kann in nur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„Anwenden des digitalen Informationsmodells“,</w:t>
      </w:r>
    </w:p>
    <w:p>
      <w:pPr>
        <w:ind w:left="780"/>
      </w:pPr>
      <w:r>
        <w:t xml:space="preserve">b) „Anwenden von Planungsregeln und Bauprinzipien auf Bauweisen, Bauelemente und bauliche Infrastruktursysteme“ oder</w:t>
      </w:r>
    </w:p>
    <w:p>
      <w:pPr>
        <w:ind w:left="780"/>
      </w:pPr>
      <w:r>
        <w:t xml:space="preserve">c) „Wirtschafts- und Sozialkunde“,</w:t>
      </w:r>
    </w:p>
    <w:p>
      <w:pPr>
        <w:ind w:left="420"/>
      </w:pPr>
      <w:r>
        <w:t xml:space="preserve">2. wenn der im Antrag benannte Prüfungsbereich schlechter als mit „ausreichend“ bewertet worden ist und</w:t>
      </w:r>
    </w:p>
    <w:p>
      <w:pPr>
        <w:ind w:left="420"/>
      </w:pPr>
      <w:r>
        <w:t xml:space="preserve">3. wenn die mündliche Ergänzungsprüfung für das Bestehen der Abschlussprüfung den Ausschlag geben kann.</w:t>
      </w:r>
    </w:p>
    <w:p>
      <w:pPr>
        <w:ind w:left="420"/>
      </w:pPr>
      <w:r>
        <w:t xml:space="preserve">4. Die mündliche Ergänzungsprüfung darf nur in dem Prüfungsbereich durchgeführt werden, für den der Antrag nach Satz 1 Nummer 1 gestellt worden ist.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37 BautechKonAusbV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https://recht.nulegal.eu/gesetze/BautechKonAusbV/37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