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BautechKonAusbV — Gewichtung der Prüfungsbereiche und Anforderungen für das Bestehen der Abschlussprüfung</w:t>
      </w:r>
    </w:p>
    <w:p>
      <w:r>
        <w:rPr>
          <w:color w:val="555555"/>
          <w:sz w:val="18"/>
        </w:rPr>
        <w:t xml:space="preserve">Bautechnikkonstrukteur-Ausbildungsverordnung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Bewertungen der einzelnen Prüfungsbereiche sind wie folgt zu gewichten:</w:t>
      </w:r>
    </w:p>
    <w:p>
      <w:r>
        <w:rPr>
          <w:rFonts w:ascii="Courier New" w:hAnsi="Courier New"/>
          <w:sz w:val="17"/>
        </w:rPr>
        <w:t xml:space="preserve">„Erstellen von Dokumenten für die Planungs- und die Ausführungsphase“    mit 50 Prozent,</w:t>
      </w:r>
    </w:p>
    <w:p>
      <w:r>
        <w:rPr>
          <w:rFonts w:ascii="Courier New" w:hAnsi="Courier New"/>
          <w:sz w:val="17"/>
        </w:rPr>
        <w:t xml:space="preserve">„Anwenden des digitalen Informationsmodells“    mit 15 Prozent,</w:t>
      </w:r>
    </w:p>
    <w:p>
      <w:r>
        <w:rPr>
          <w:rFonts w:ascii="Courier New" w:hAnsi="Courier New"/>
          <w:sz w:val="17"/>
        </w:rPr>
        <w:t xml:space="preserve">„Anwenden von Planungsregeln und Bauprinzipien auf Bauweisen, Bauelemente und bauliche Infrastruktursysteme“    mit 25 Prozent</w:t>
      </w:r>
    </w:p>
    <w:p>
      <w:pPr>
        <w:ind w:left="420"/>
      </w:pPr>
      <w:r>
        <w:t xml:space="preserve">3. sowie</w:t>
      </w:r>
    </w:p>
    <w:p>
      <w:r>
        <w:rPr>
          <w:rFonts w:ascii="Courier New" w:hAnsi="Courier New"/>
          <w:sz w:val="17"/>
        </w:rPr>
        <w:t xml:space="preserve">„Wirtschafts- und Sozialkunde“    mit 10 Prozent.</w:t>
      </w:r>
    </w:p>
    <w:p>
      <w:pPr>
        <w:ind w:left="420"/>
      </w:pPr>
      <w:r>
        <w:t xml:space="preserve">4. (2) Die Abschlussprüfung ist bestanden, wenn die Prüfungsleistungen – auch unter Berücksichtigung einer mündlichen Ergänzungsprüfung nach § 37 – wie folgt bewertet worden sind:</w:t>
      </w:r>
    </w:p>
    <w:p>
      <w:pPr>
        <w:ind w:left="420"/>
      </w:pPr>
      <w:r>
        <w:t xml:space="preserve">1. im Gesamtergebnis mit mindestens „ausreichend“,</w:t>
      </w:r>
    </w:p>
    <w:p>
      <w:pPr>
        <w:ind w:left="420"/>
      </w:pPr>
      <w:r>
        <w:t xml:space="preserve">2. in mindestens drei Prüfungsbereichen mit mindestens „ausreichend“ und</w:t>
      </w:r>
    </w:p>
    <w:p>
      <w:pPr>
        <w:ind w:left="420"/>
      </w:pPr>
      <w:r>
        <w:t xml:space="preserve">3. in keinem Prüfungsbereich mit „ungenügend“.</w:t>
      </w:r>
    </w:p>
    <w:p>
      <w:r>
        <w:t xml:space="preserve">Über das Bestehen ist ein Beschluss nach § 42 Absatz 1 Nummer 3 des Berufsbildungsgesetzes zu fassen.</w:t>
      </w:r>
    </w:p>
    <w:p>
      <w:r>
        <w:rPr>
          <w:color w:val="555555"/>
          <w:sz w:val="17"/>
        </w:rPr>
        <w:t xml:space="preserve">Zitiervorschlag: § 36 BautechKonAusbV</w:t>
      </w:r>
    </w:p>
    <w:p>
      <w:r>
        <w:rPr>
          <w:color w:val="555555"/>
          <w:sz w:val="17"/>
        </w:rPr>
        <w:t xml:space="preserve">Quelle: Bundesamt für Justiz, abgerufen 01.08.2026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https://recht.nulegal.eu/gesetze/BautechKonAusbV/36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