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BautechKonAusbV — Prüfungsbereich „Anwenden des digitalen Informationsmodells“</w:t>
      </w:r>
    </w:p>
    <w:p>
      <w:r>
        <w:rPr>
          <w:color w:val="555555"/>
          <w:sz w:val="18"/>
        </w:rPr>
        <w:t xml:space="preserve">Bautechnikkonstrukteur-Ausbildungsverordnung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Im Prüfungsbereich „Anwenden des digitalen Informationsmodells“ hat der Prüfling nachzuweisen, dass er in der Lage ist,</w:t>
      </w:r>
    </w:p>
    <w:p>
      <w:pPr>
        <w:ind w:left="420"/>
      </w:pPr>
      <w:r>
        <w:t xml:space="preserve">1. Grundlagen des digitalen Informationsmodells zu beschreiben,</w:t>
      </w:r>
    </w:p>
    <w:p>
      <w:pPr>
        <w:ind w:left="420"/>
      </w:pPr>
      <w:r>
        <w:t xml:space="preserve">2. Rollen und Verantwortlichkeiten in einem digitalen Informationsmodell zu erläutern,</w:t>
      </w:r>
    </w:p>
    <w:p>
      <w:pPr>
        <w:ind w:left="420"/>
      </w:pPr>
      <w:r>
        <w:t xml:space="preserve">3. Bauteilinformationen auftragsbezogen aufzubereiten,</w:t>
      </w:r>
    </w:p>
    <w:p>
      <w:pPr>
        <w:ind w:left="420"/>
      </w:pPr>
      <w:r>
        <w:t xml:space="preserve">4. den Lebenszyklus eines Bauwerks darzustellen,</w:t>
      </w:r>
    </w:p>
    <w:p>
      <w:pPr>
        <w:ind w:left="420"/>
      </w:pPr>
      <w:r>
        <w:t xml:space="preserve">5. Chancen und Risiken eines digitalen Informationsmodells zu beschreiben,</w:t>
      </w:r>
    </w:p>
    <w:p>
      <w:pPr>
        <w:ind w:left="420"/>
      </w:pPr>
      <w:r>
        <w:t xml:space="preserve">6. fachliche Zusammenhänge aufzuzeigen und</w:t>
      </w:r>
    </w:p>
    <w:p>
      <w:pPr>
        <w:ind w:left="420"/>
      </w:pPr>
      <w:r>
        <w:t xml:space="preserve">7. qualitätssichernde Maßnahmen anzuwenden.</w:t>
      </w:r>
    </w:p>
    <w:p>
      <w:r>
        <w:t xml:space="preserve">(2) Die Prüfungsaufgaben müssen praxisbezogen sein. Der Prüfling hat die Aufgaben schriftlich zu bearbeiten.</w:t>
      </w:r>
    </w:p>
    <w:p>
      <w:r>
        <w:t xml:space="preserve">(3) Die Prüfungszeit beträgt 90 Minuten.</w:t>
      </w:r>
    </w:p>
    <w:p>
      <w:r>
        <w:rPr>
          <w:color w:val="555555"/>
          <w:sz w:val="17"/>
        </w:rPr>
        <w:t xml:space="preserve">Zitiervorschlag: § 33 BautechKonAusbV</w:t>
      </w:r>
    </w:p>
    <w:p>
      <w:r>
        <w:rPr>
          <w:color w:val="555555"/>
          <w:sz w:val="17"/>
        </w:rPr>
        <w:t xml:space="preserve">Quelle: Bundesamt für Justiz, abgerufen 01.08.2026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https://recht.nulegal.eu/gesetze/BautechKonAusbV/33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