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BautechKonAusbV — Prüfungsbereiche in der Fachrichtung Tief-, Verkehrswege- und Landschaftsbau</w:t>
      </w:r>
    </w:p>
    <w:p>
      <w:r>
        <w:rPr>
          <w:color w:val="555555"/>
          <w:sz w:val="18"/>
        </w:rPr>
        <w:t xml:space="preserve">Bautechnikkonstrukteur-Ausbildungsverordnung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Abschlussprüfung findet in den folgenden Prüfungsbereichen statt:</w:t>
      </w:r>
    </w:p>
    <w:p>
      <w:pPr>
        <w:ind w:left="420"/>
      </w:pPr>
      <w:r>
        <w:t xml:space="preserve">1. „Erstellen von Dokumenten für die Planungs- und die Ausführungsphase“,</w:t>
      </w:r>
    </w:p>
    <w:p>
      <w:pPr>
        <w:ind w:left="420"/>
      </w:pPr>
      <w:r>
        <w:t xml:space="preserve">2. „Anwenden des digitalen Informationsmodells“,</w:t>
      </w:r>
    </w:p>
    <w:p>
      <w:pPr>
        <w:ind w:left="420"/>
      </w:pPr>
      <w:r>
        <w:t xml:space="preserve">3. „Anwenden von Planungsregeln und Bauprinzipien auf Bauweisen, Bauelemente und bauliche Infrastruktursysteme“ sowie</w:t>
      </w:r>
    </w:p>
    <w:p>
      <w:pPr>
        <w:ind w:left="420"/>
      </w:pPr>
      <w:r>
        <w:t xml:space="preserve">4. „Wirtschafts- und Sozialkunde“.</w:t>
      </w:r>
    </w:p>
    <w:p>
      <w:r>
        <w:rPr>
          <w:color w:val="555555"/>
          <w:sz w:val="17"/>
        </w:rPr>
        <w:t xml:space="preserve">Zitiervorschlag: § 31 BautechKonAusbV</w:t>
      </w:r>
    </w:p>
    <w:p>
      <w:r>
        <w:rPr>
          <w:color w:val="555555"/>
          <w:sz w:val="17"/>
        </w:rPr>
        <w:t xml:space="preserve">Quelle: Bundesamt für Justiz, abgerufen 01.08.2026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https://recht.nulegal.eu/gesetze/BautechKonAusbV/31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