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BautechKonAusbV — Prüfungsbereich „Anwenden von Planungs- und Konstruktionsregeln auf Bauwerke und Bauteile“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„Anwenden von Planungs- und Konstruktionsregeln auf Bauwerke und Bauteile“ hat der Prüfling nachzuweisen, dass er in der Lage ist,</w:t>
      </w:r>
    </w:p>
    <w:p>
      <w:pPr>
        <w:ind w:left="420"/>
      </w:pPr>
      <w:r>
        <w:t xml:space="preserve">1. Baustrukturen zu erkennen und zu beschreiben,</w:t>
      </w:r>
    </w:p>
    <w:p>
      <w:pPr>
        <w:ind w:left="420"/>
      </w:pPr>
      <w:r>
        <w:t xml:space="preserve">2. Planungs- und Konstruktionsregeln zu erkennen und anzuwenden,</w:t>
      </w:r>
    </w:p>
    <w:p>
      <w:pPr>
        <w:ind w:left="420"/>
      </w:pPr>
      <w:r>
        <w:t xml:space="preserve">3. statische Grundlagen zu erkennen und Ableitungen zu treffen,</w:t>
      </w:r>
    </w:p>
    <w:p>
      <w:pPr>
        <w:ind w:left="420"/>
      </w:pPr>
      <w:r>
        <w:t xml:space="preserve">4. Berechnungen durchzuführen,</w:t>
      </w:r>
    </w:p>
    <w:p>
      <w:pPr>
        <w:ind w:left="420"/>
      </w:pPr>
      <w:r>
        <w:t xml:space="preserve">5. Prinzipien der Kreislaufwirtschaft im Planungsprozess anzuwenden,</w:t>
      </w:r>
    </w:p>
    <w:p>
      <w:pPr>
        <w:ind w:left="420"/>
      </w:pPr>
      <w:r>
        <w:t xml:space="preserve">6. normative und werkstoffspezifische Regeln der Konstruktion anzuwenden und</w:t>
      </w:r>
    </w:p>
    <w:p>
      <w:pPr>
        <w:ind w:left="420"/>
      </w:pPr>
      <w:r>
        <w:t xml:space="preserve">7. technische Angaben zu beurteilen und zeichnerische Darstellungen anzufertigen.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25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BautechKonAusbV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