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BautechKonAusbV — Mündliche Ergänzungsprüfung</w:t>
      </w:r>
    </w:p>
    <w:p>
      <w:r>
        <w:rPr>
          <w:color w:val="555555"/>
          <w:sz w:val="18"/>
        </w:rPr>
        <w:t xml:space="preserve">Bautechnikkonstrukteur-Ausbildungsverordnung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Prüfling kann in nur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„Anwenden des digitalen Informationsmodells“,</w:t>
      </w:r>
    </w:p>
    <w:p>
      <w:pPr>
        <w:ind w:left="780"/>
      </w:pPr>
      <w:r>
        <w:t xml:space="preserve">b) „Anwenden von Planungs- und Konstruktionsregeln auf Bauwerke und Bauteile“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im Antrag benannte Prüfungsbereich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dem Prüfungsbereich durchgeführt werden, für den der Antrag nach Satz 1 Nummer 1 gestellt worden ist.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19 BautechKonAusbV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https://recht.nulegal.eu/gesetze/BautechKonAusbV/19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BautechKonAusbV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