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BautechKonAusbV — Prüfungsbereiche in der Fachrichtung Architektur</w:t>
      </w:r>
    </w:p>
    <w:p>
      <w:r>
        <w:rPr>
          <w:color w:val="555555"/>
          <w:sz w:val="18"/>
        </w:rPr>
        <w:t xml:space="preserve">Bautechnikkonstrukteur-Ausbildungsverordnung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 Abschlussprüfung findet in den folgenden Prüfungsbereichen statt:</w:t>
      </w:r>
    </w:p>
    <w:p>
      <w:pPr>
        <w:ind w:left="420"/>
      </w:pPr>
      <w:r>
        <w:t xml:space="preserve">1. „Erstellen von Dokumenten für die Entwurfs-, die Genehmigungs- und die Ausführungsplanung“,</w:t>
      </w:r>
    </w:p>
    <w:p>
      <w:pPr>
        <w:ind w:left="420"/>
      </w:pPr>
      <w:r>
        <w:t xml:space="preserve">2. „Anwenden des digitalen Informationsmodells“,</w:t>
      </w:r>
    </w:p>
    <w:p>
      <w:pPr>
        <w:ind w:left="420"/>
      </w:pPr>
      <w:r>
        <w:t xml:space="preserve">3. „Anwenden von Planungs- und Konstruktionsregeln auf Bauwerke und Bauteile“ sowie</w:t>
      </w:r>
    </w:p>
    <w:p>
      <w:pPr>
        <w:ind w:left="420"/>
      </w:pPr>
      <w:r>
        <w:t xml:space="preserve">4. „Wirtschafts- und Sozialkunde“.</w:t>
      </w:r>
    </w:p>
    <w:p>
      <w:r>
        <w:rPr>
          <w:color w:val="555555"/>
          <w:sz w:val="17"/>
        </w:rPr>
        <w:t xml:space="preserve">Zitiervorschlag: § 13 BautechKonAusbV</w:t>
      </w:r>
    </w:p>
    <w:p>
      <w:r>
        <w:rPr>
          <w:color w:val="555555"/>
          <w:sz w:val="17"/>
        </w:rPr>
        <w:t xml:space="preserve">Quelle: Bundesamt für Justiz, abgerufen 01.08.2026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https://recht.nulegal.eu/gesetze/BautechKonAusbV/13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