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BautechKonAusbV — Prüfungsbereich</w:t>
      </w:r>
    </w:p>
    <w:p>
      <w:r>
        <w:rPr>
          <w:color w:val="555555"/>
          <w:sz w:val="18"/>
        </w:rPr>
        <w:t xml:space="preserve">Bautechnikkonstrukteur-Ausbildungsverordnung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Zwischenprüfung findet im Prüfungsbereich „Technische Zeichnung“ statt.</w:t>
      </w:r>
    </w:p>
    <w:p>
      <w:r>
        <w:t xml:space="preserve">(2) Im Prüfungsbereich „Technische Zeichnung“ hat der Prüfling nachzuweisen, dass er in der Lage ist,</w:t>
      </w:r>
    </w:p>
    <w:p>
      <w:pPr>
        <w:ind w:left="420"/>
      </w:pPr>
      <w:r>
        <w:t xml:space="preserve">1. Arbeitsaufträge zu prüfen und Arbeitsabläufe zu planen,</w:t>
      </w:r>
    </w:p>
    <w:p>
      <w:pPr>
        <w:ind w:left="420"/>
      </w:pPr>
      <w:r>
        <w:t xml:space="preserve">2. Bauzeichnungen zu lesen und Daten aus Planungsunterlagen zu entnehmen,</w:t>
      </w:r>
    </w:p>
    <w:p>
      <w:pPr>
        <w:ind w:left="420"/>
      </w:pPr>
      <w:r>
        <w:t xml:space="preserve">3. Skizzen von Bauwerken unter Berücksichtigung von projektbezogenen Vorgaben und Vorschriften manuell anzufertigen,</w:t>
      </w:r>
    </w:p>
    <w:p>
      <w:pPr>
        <w:ind w:left="420"/>
      </w:pPr>
      <w:r>
        <w:t xml:space="preserve">4. zweidimensionale Darstellungen von Bauteilen und Objekten unter Berücksichtigung unterschiedlicher Materialien mit einem CAD-System zu entwickeln,</w:t>
      </w:r>
    </w:p>
    <w:p>
      <w:pPr>
        <w:ind w:left="420"/>
      </w:pPr>
      <w:r>
        <w:t xml:space="preserve">5. grundlegende Berechnungen zur Konstruktion durchzuführen und Massenermittlungen zu erstellen,</w:t>
      </w:r>
    </w:p>
    <w:p>
      <w:pPr>
        <w:ind w:left="420"/>
      </w:pPr>
      <w:r>
        <w:t xml:space="preserve">6. Baustoffe nach ihren Eigenschaften anwendungsbezogen zu unterscheiden und unter Berücksichtigung der Kreislaufwirtschaft zu beurteilen,</w:t>
      </w:r>
    </w:p>
    <w:p>
      <w:pPr>
        <w:ind w:left="420"/>
      </w:pPr>
      <w:r>
        <w:t xml:space="preserve">7. Maßnahmen zur Qualitätssicherung umzusetzen und</w:t>
      </w:r>
    </w:p>
    <w:p>
      <w:pPr>
        <w:ind w:left="420"/>
      </w:pPr>
      <w:r>
        <w:t xml:space="preserve">8. wesentliche fachliche Zusammenhänge aufzuzeigen und seine Vorgehensweise zu begründen.</w:t>
      </w:r>
    </w:p>
    <w:p>
      <w:r>
        <w:t xml:space="preserve">(3) Der Prüfling hat eine Arbeitsaufgabe durchzuführen. Zusätzlich hat er geeignete Aufgaben, die sich auf die Arbeitsaufgabe beziehen, schriftlich zu bearbeiten. Die Aufgaben müssen praxisbezogen sein.</w:t>
      </w:r>
    </w:p>
    <w:p>
      <w:r>
        <w:t xml:space="preserve">(4) Die Prüfungszeit beträgt insgesamt 330 Minuten. Für die Durchführung der Arbeitsaufgabe beträgt die Prüfungszeit 240 Minuten. Für die Bearbeitung der schriftlichen Aufgaben beträgt die Prüfungszeit 90 Minuten.</w:t>
      </w:r>
    </w:p>
    <w:p>
      <w:r>
        <w:t xml:space="preserve">(5) Bei der Ermittlung des Ergebnisses für den Prüfungsbereich sind die Bewertungen wie folgt zu gewichten:</w:t>
      </w:r>
    </w:p>
    <w:p>
      <w:pPr>
        <w:ind w:left="420"/>
      </w:pPr>
      <w:r>
        <w:t xml:space="preserve">1. die Bewertung der Arbeitsaufgabe mit 60 Prozent und</w:t>
      </w:r>
    </w:p>
    <w:p>
      <w:pPr>
        <w:ind w:left="420"/>
      </w:pPr>
      <w:r>
        <w:t xml:space="preserve">2. die Bewertung für die schriftlich zu bearbeitenden Aufgaben mit 40 Prozent.</w:t>
      </w:r>
    </w:p>
    <w:p>
      <w:r>
        <w:rPr>
          <w:color w:val="555555"/>
          <w:sz w:val="17"/>
        </w:rPr>
        <w:t xml:space="preserve">Zitiervorschlag: § 10 BautechKonAusbV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https://recht.nulegal.eu/gesetze/BautechKonAusbV/10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