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BautechKonAusbV — Staatliche Anerkennung des Ausbildungsberufes</w:t>
      </w:r>
    </w:p>
    <w:p>
      <w:r>
        <w:rPr>
          <w:color w:val="555555"/>
          <w:sz w:val="18"/>
        </w:rPr>
        <w:t xml:space="preserve">Bautechnikkonstrukteur-Ausbildungsverordnung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Der Ausbildungsberuf mit der Berufsbezeichnung des Bautechnischen Konstrukteurs und der Bautechnischen Konstrukteurin wird nach § 4 Absatz 1 des Berufsbildungsgesetzes staatlich anerkannt.</w:t>
      </w:r>
    </w:p>
    <w:p>
      <w:r>
        <w:rPr>
          <w:color w:val="555555"/>
          <w:sz w:val="17"/>
        </w:rPr>
        <w:t xml:space="preserve">Zitiervorschlag: § 1 BautechKonAusbV</w:t>
      </w:r>
    </w:p>
    <w:p>
      <w:r>
        <w:rPr>
          <w:color w:val="555555"/>
          <w:sz w:val="17"/>
        </w:rPr>
        <w:t xml:space="preserve">Quelle: Bundesamt für Justiz, abgerufen 01.08.2026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https://recht.nulegal.eu/gesetze/BautechKonAusbV/1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