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BaustellV — Inkrafttreten und Übergangsvorschrift</w:t>
      </w:r>
    </w:p>
    <w:p>
      <w:r>
        <w:rPr>
          <w:color w:val="555555"/>
          <w:sz w:val="18"/>
        </w:rPr>
        <w:t xml:space="preserve">Baustellenverordnung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Diese Verordnung tritt am ersten Tage des auf die Verkündung folgenden Kalendermonats in Kraft.</w:t>
      </w:r>
    </w:p>
    <w:p>
      <w:r>
        <w:t xml:space="preserve">(2) Für Bauvorhaben, mit deren Ausführung bereits vor dem 1. April 2023 begonnen worden ist, bleiben die bisherigen Vorschriften maßgebend.</w:t>
      </w:r>
    </w:p>
    <w:p>
      <w:r>
        <w:rPr>
          <w:color w:val="555555"/>
          <w:sz w:val="17"/>
        </w:rPr>
        <w:t xml:space="preserve">Zitiervorschlag: § 8 BaustellV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https://recht.nulegal.eu/gesetze/BaustellV/8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