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BaustellV — Ordnungswidrigkeiten und Strafvorschriften</w:t>
      </w:r>
    </w:p>
    <w:p>
      <w:r>
        <w:rPr>
          <w:color w:val="555555"/>
          <w:sz w:val="18"/>
        </w:rPr>
        <w:t xml:space="preserve">Baustellenverordnung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Ordnungswidrig im Sinne des § 25 Abs. 1 Nr. 1 des Arbeitsschutzgesetzes handelt, wer vorsätzlich oder fahrlässig</w:t>
      </w:r>
    </w:p>
    <w:p>
      <w:pPr>
        <w:ind w:left="420"/>
      </w:pPr>
      <w:r>
        <w:t xml:space="preserve">1. entgegen § 2 Abs. 2 Satz 1 der zuständigen Behörde eine Vorankündigung nicht, nicht richtig, nicht vollständig oder nicht rechtzeitig übermittelt, oder</w:t>
      </w:r>
    </w:p>
    <w:p>
      <w:pPr>
        <w:ind w:left="420"/>
      </w:pPr>
      <w:r>
        <w:t xml:space="preserve">2. entgegen § 2 Abs. 3 Satz 1 nicht dafür sorgt, daß vor Einrichtung der Baustelle ein Sicherheits- und Gesundheitsschutzplan erstellt wird.</w:t>
      </w:r>
    </w:p>
    <w:p>
      <w:r>
        <w:t xml:space="preserve">(2) Wer durch eine im Absatz 1 bezeichnete vorsätzliche Handlung Leben oder Gesundheit eines Beschäftigten gefährdet, ist nach § 26 Nr. 2 des Arbeitsschutzgesetzes strafbar.</w:t>
      </w:r>
    </w:p>
    <w:p>
      <w:r>
        <w:rPr>
          <w:color w:val="555555"/>
          <w:sz w:val="17"/>
        </w:rPr>
        <w:t xml:space="preserve">Zitiervorschlag: § 7 BaustellV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https://recht.nulegal.eu/gesetze/BaustellV/7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