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BaustellV — Beauftragung</w:t>
      </w:r>
    </w:p>
    <w:p>
      <w:r>
        <w:rPr>
          <w:color w:val="555555"/>
          <w:sz w:val="18"/>
        </w:rPr>
        <w:t xml:space="preserve">Baustellenverordnung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Maßnahmen nach § 2 und § 3 Abs. 1 Satz 1 hat der Bauherr zu treffen, es sei denn, er beauftragt einen Dritten, diese Maßnahmen in eigener Verantwortung zu treffen.</w:t>
      </w:r>
    </w:p>
    <w:p>
      <w:r>
        <w:rPr>
          <w:color w:val="555555"/>
          <w:sz w:val="17"/>
        </w:rPr>
        <w:t xml:space="preserve">Zitiervorschlag: § 4 BaustellV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https://recht.nulegal.eu/gesetze/BaustellV/4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