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BaustellV — Ziele, Begriffe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dient der wesentlichen Verbesserung von Sicherheit und Gesundheitsschutz der Beschäftigten auf Baustellen.</w:t>
      </w:r>
    </w:p>
    <w:p>
      <w:r>
        <w:t xml:space="preserve">(2) Die Verordnung gilt nicht für Tätigkeiten und Einrichtungen im Sinne des § 2 des Bundesberggesetzes.</w:t>
      </w:r>
    </w:p>
    <w:p>
      <w:r>
        <w:t xml:space="preserve">(3) Baustelle im Sinne dieser Verordnung ist der Ort, an dem ein Bauvorhaben ausgeführt wird. Ein Bauvorhaben ist das Vorhaben, eine oder mehrere bauliche Anlagen zu errichten, zu ändern oder abzubrechen.</w:t>
      </w:r>
    </w:p>
    <w:p>
      <w:r>
        <w:rPr>
          <w:color w:val="555555"/>
          <w:sz w:val="17"/>
        </w:rPr>
        <w:t xml:space="preserve">Zitiervorschlag: § 1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