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BaubetrV 1980</w:t>
      </w:r>
    </w:p>
    <w:p>
      <w:r>
        <w:rPr>
          <w:color w:val="555555"/>
          <w:sz w:val="18"/>
        </w:rPr>
        <w:t xml:space="preserve">Baubetriebe-Verordnung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76 Abs. 2 des Arbeitsförderungsgesetzes vom 25. Juni 1969 (BGBl. I S. 582), der durch Artikel 1 Nr. 23 des Gesetzes vom 23. Juli 1979 (BGBl. I S. 1189) geändert worden ist, wird - nach Anhörung der Bundesanstalt für Arbeit gemäß § 234 Abs. 2 des Arbeitsförderungsgesetzes und der Tarifvertragsparteien des Baugewerbes gemäß § 76 Abs. 2 Satz 4 des Arbeitsförderungsgesetzes - verordnet:</w:t>
      </w:r>
    </w:p>
    <w:p>
      <w:r>
        <w:rPr>
          <w:color w:val="555555"/>
          <w:sz w:val="17"/>
        </w:rPr>
        <w:t xml:space="preserve">Zitiervorschlag: Eingangsformel BaubetrV 1980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https://recht.nulegal.eu/gesetze/BaubetrV%201980/eingangsformel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