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BaubetrV 1980 — Ausgeschlossene Betriebe</w:t>
      </w:r>
    </w:p>
    <w:p>
      <w:r>
        <w:rPr>
          <w:color w:val="555555"/>
          <w:sz w:val="18"/>
        </w:rPr>
        <w:t xml:space="preserve">Baubetriebe-Verordnung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Nicht als förderfähige Betriebe im Sinne des § 1 Abs. 1 anzusehen sind Betriebe</w:t>
      </w:r>
    </w:p>
    <w:p>
      <w:pPr>
        <w:ind w:left="420"/>
      </w:pPr>
      <w:r>
        <w:t xml:space="preserve">1. des Bauten- und Eisenschutzgewerbes;</w:t>
      </w:r>
    </w:p>
    <w:p>
      <w:pPr>
        <w:ind w:left="420"/>
      </w:pPr>
      <w:r>
        <w:t xml:space="preserve">2. des Betonwaren und Terrazzowaren herstellenden Gewerbes, soweit nicht in Betriebsabteilungen nach deren Zweckbestimmung überwiegend Bauleistungen im Sinne des § 1 Abs. 1 und 2 ausgeführt werden;</w:t>
      </w:r>
    </w:p>
    <w:p>
      <w:pPr>
        <w:ind w:left="420"/>
      </w:pPr>
      <w:r>
        <w:t xml:space="preserve">3. der Fassadenreinigung;</w:t>
      </w:r>
    </w:p>
    <w:p>
      <w:pPr>
        <w:ind w:left="420"/>
      </w:pPr>
      <w:r>
        <w:t xml:space="preserve">4. der Fußboden- und Parkettlegerei;</w:t>
      </w:r>
    </w:p>
    <w:p>
      <w:pPr>
        <w:ind w:left="420"/>
      </w:pPr>
      <w:r>
        <w:t xml:space="preserve">5. des Glaserhandwerks;</w:t>
      </w:r>
    </w:p>
    <w:p>
      <w:pPr>
        <w:ind w:left="420"/>
      </w:pPr>
      <w:r>
        <w:t xml:space="preserve">6. des Installationsgewerbes, insbesondere der Klempnerei, des Klimaanlagenbaues, der Gas-, Wasser-, Heizungs-, Lüftungs- und Elektroinstallation, sowie des Blitzschutz- und Erdungsanlagenbaus;</w:t>
      </w:r>
    </w:p>
    <w:p>
      <w:pPr>
        <w:ind w:left="420"/>
      </w:pPr>
      <w:r>
        <w:t xml:space="preserve">7. des Maler- und Lackiererhandwerks, soweit nicht überwiegend Bauleistungen im Sinne des § 1 Abs. 1 und 2 ausgeführt werden;</w:t>
      </w:r>
    </w:p>
    <w:p>
      <w:pPr>
        <w:ind w:left="420"/>
      </w:pPr>
      <w:r>
        <w:t xml:space="preserve">8. der Naturstein- und Naturwerksteinindustrie und des Steinmetzhandwerks;</w:t>
      </w:r>
    </w:p>
    <w:p>
      <w:pPr>
        <w:ind w:left="420"/>
      </w:pPr>
      <w:r>
        <w:t xml:space="preserve">9. der Naßbaggerei;</w:t>
      </w:r>
    </w:p>
    <w:p>
      <w:pPr>
        <w:ind w:left="420"/>
      </w:pPr>
      <w:r>
        <w:t xml:space="preserve">10. des Kachelofen- und Luftheizungsbaues;</w:t>
      </w:r>
    </w:p>
    <w:p>
      <w:pPr>
        <w:ind w:left="420"/>
      </w:pPr>
      <w:r>
        <w:t xml:space="preserve">11. der Säurebauindustrie;</w:t>
      </w:r>
    </w:p>
    <w:p>
      <w:pPr>
        <w:ind w:left="420"/>
      </w:pPr>
      <w:r>
        <w:t xml:space="preserve">12. des Schreinerhandwerks sowie der holzbe- und -verarbeitenden Industrie einschließlich der Holzfertigbauindustrie, soweit nicht überwiegend Fertigbau-, Dämm- (Isolier-), Trockenbau- und Montagebauarbeiten oder Zimmerarbeiten ausgeführt werden;</w:t>
      </w:r>
    </w:p>
    <w:p>
      <w:pPr>
        <w:ind w:left="420"/>
      </w:pPr>
      <w:r>
        <w:t xml:space="preserve">13. des reinen Stahl-, Eisen-, Metall- und Leichtmetallbaus sowie des Fahrleitungs-, Freileitungs-, Ortsnetz- und Kabelbaus;</w:t>
      </w:r>
    </w:p>
    <w:p>
      <w:pPr>
        <w:ind w:left="420"/>
      </w:pPr>
      <w:r>
        <w:t xml:space="preserve">14. und Betriebe, die Betonentladegeräte gewerblich zur Verfügung stellen.</w:t>
      </w:r>
    </w:p>
    <w:p>
      <w:r>
        <w:rPr>
          <w:color w:val="555555"/>
          <w:sz w:val="17"/>
        </w:rPr>
        <w:t xml:space="preserve">Zitiervorschlag: § 2 BaubetrV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https://recht.nulegal.eu/gesetze/BaubetrV%201980/2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