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 BauZAusbV 2002 — Gliederung der Berufsausbildung</w:t>
      </w:r>
    </w:p>
    <w:p>
      <w:r>
        <w:rPr>
          <w:color w:val="555555"/>
          <w:sz w:val="18"/>
        </w:rPr>
        <w:t xml:space="preserve">Verordnung über die Berufsausbildung zum Bauzeichner/zur Bauzeichnerin</w:t>
      </w:r>
    </w:p>
    <w:p>
      <w:r>
        <w:rPr>
          <w:color w:val="555555"/>
          <w:sz w:val="18"/>
        </w:rPr>
        <w:t xml:space="preserve">Historische Fassung: Stand 10.06.2019 bis 01.08.2026. Dies ist nicht die aktuelle Fassung.</w:t>
      </w:r>
    </w:p>
    <w:p>
      <w:r>
        <w:t xml:space="preserve">In der Berufsausbildung zum Bauzeichner/zur Bauzeichnerin sind</w:t>
      </w:r>
    </w:p>
    <w:p>
      <w:pPr>
        <w:ind w:left="420"/>
      </w:pPr>
      <w:r>
        <w:t xml:space="preserve">1. im ersten Ausbildungsjahr in mindestens acht Wochen insbesondere Fertigkeiten und Kenntnisse aus den laufenden Nummern 10, 11 und 12 der Anlage,</w:t>
      </w:r>
    </w:p>
    <w:p>
      <w:pPr>
        <w:ind w:left="420"/>
      </w:pPr>
      <w:r>
        <w:t xml:space="preserve">2. im zweiten Ausbildungsjahr in mindestens acht Wochen insbesondere Fertigkeiten und Kenntnisse aus den laufenden Nummern 10, 11 und 12 der Anlage,</w:t>
      </w:r>
    </w:p>
    <w:p>
      <w:pPr>
        <w:ind w:left="420"/>
      </w:pPr>
      <w:r>
        <w:t xml:space="preserve">3. im dritten Ausbildungsjahr in zwei Wochen insbesondere Fertigkeiten und Kenntnisse aus der laufenden Nummer 12 der Anlage</w:t>
      </w:r>
    </w:p>
    <w:p>
      <w:r>
        <w:t xml:space="preserve">in überbetrieblichen oder in betrieblichen Ausbildungsstätten zu vermitteln.</w:t>
      </w:r>
    </w:p>
    <w:p>
      <w:r>
        <w:rPr>
          <w:color w:val="555555"/>
          <w:sz w:val="17"/>
        </w:rPr>
        <w:t xml:space="preserve">Zitiervorschlag: § 3 BauZAusbV 2002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https://recht.nulegal.eu/gesetze/BauZAusbV%202002/3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 BauZAusbV 2002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