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BauWiAusbV 1999 — Ausbildungsrahmenplan</w:t>
      </w:r>
    </w:p>
    <w:p>
      <w:r>
        <w:rPr>
          <w:color w:val="555555"/>
          <w:sz w:val="18"/>
        </w:rPr>
        <w:t xml:space="preserve">Verordnung über die Berufsausbildung in der Bauwirtschaft</w:t>
      </w:r>
    </w:p>
    <w:p>
      <w:r>
        <w:rPr>
          <w:color w:val="555555"/>
          <w:sz w:val="18"/>
        </w:rPr>
        <w:t xml:space="preserve">Historische Fassung: Stand 10.06.2019 bis 01.08.2026. Dies ist nicht die aktuelle Fassung.</w:t>
      </w:r>
    </w:p>
    <w:p>
      <w:r>
        <w:t xml:space="preserve">Die in § 28 genannten Fertigkeiten und Kenntnisse sollen nach der in der Anlage 5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29 BauWiAusbV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https://recht.nulegal.eu/gesetze/BauWiAusbV%201999/29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BauWiAusbV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