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BauWiAusbV 1999 — Zwischenprüfung</w:t>
      </w:r>
    </w:p>
    <w:p>
      <w:r>
        <w:rPr>
          <w:color w:val="555555"/>
          <w:sz w:val="18"/>
        </w:rPr>
        <w:t xml:space="preserve">Verordnung über die Berufsausbildung in der Bauwirtschaft</w:t>
      </w:r>
    </w:p>
    <w:p>
      <w:r>
        <w:rPr>
          <w:color w:val="555555"/>
          <w:sz w:val="18"/>
        </w:rPr>
        <w:t xml:space="preserve">Historische Fassung: Stand 10.06.2019 bis 01.08.2026. Dies ist nicht die aktuelle Fassung.</w:t>
      </w:r>
    </w:p>
    <w:p>
      <w:r>
        <w:t xml:space="preserve">(1) Zur Ermittlung des Ausbildungsstandes ist eine Zwischenprüfung durchzuführen.</w:t>
      </w:r>
    </w:p>
    <w:p>
      <w:r>
        <w:t xml:space="preserve">(2) Umfaßt das Berufsausbildungsverhältnis eine Ausbildung für die erste Stufe nach § 1 Abs. 1 Nr. 1 Buchstabe c, so soll die Zwischenprüfung am Ende des ersten Ausbildungsjahres stattfinden.</w:t>
      </w:r>
    </w:p>
    <w:p>
      <w:r>
        <w:t xml:space="preserve">(3) Die Zwischenprüfung nach Absatz 2 erstreckt sich auf die in der Anlage 3 Abschnitt I unter den laufenden Nummern 1 bis 15 aufgeführten Fertigkeiten und Kenntnisse sowie auf den im Berufsschulunterricht entsprechend dem Rahmenlehrplan zu vermittelnden Lehrstoff, soweit er für die Berufsausbildung wesentlich ist.</w:t>
      </w:r>
    </w:p>
    <w:p>
      <w:r>
        <w:t xml:space="preserve">(4) Der Prüfling soll in insgesamt höchstens sechs Stunden eine praktische Aufgabe ausführen. Dabei soll der Prüfling zeigen, daß er die Arbeitsschritte planen, Baustoffe und Werkzeuge festlegen, den Arbeitsplatz sichern, den Gesundheitsschutz beachten und die Ausführung der Aufgabe mündlich oder schriftlich begründen kann. Für die praktische Aufgabe kommen insbesondere folgende Gebiete in Betracht:</w:t>
      </w:r>
    </w:p>
    <w:p>
      <w:pPr>
        <w:ind w:left="420"/>
      </w:pPr>
      <w:r>
        <w:t xml:space="preserve">1. Abstecken eines Bauteiles,</w:t>
      </w:r>
    </w:p>
    <w:p>
      <w:pPr>
        <w:ind w:left="420"/>
      </w:pPr>
      <w:r>
        <w:t xml:space="preserve">2. Herstellen einer ungebundenen Tragschicht,</w:t>
      </w:r>
    </w:p>
    <w:p>
      <w:pPr>
        <w:ind w:left="420"/>
      </w:pPr>
      <w:r>
        <w:t xml:space="preserve">3. Herstellen von Pflasterdecken und Plattenbelägen aus künstlichen Steinen,</w:t>
      </w:r>
    </w:p>
    <w:p>
      <w:pPr>
        <w:ind w:left="420"/>
      </w:pPr>
      <w:r>
        <w:t xml:space="preserve">4. Versetzen von kleinen Betonfertigteilen,</w:t>
      </w:r>
    </w:p>
    <w:p>
      <w:pPr>
        <w:ind w:left="420"/>
      </w:pPr>
      <w:r>
        <w:t xml:space="preserve">5. Verbauen und Sichern eines Leitungsgrabens,</w:t>
      </w:r>
    </w:p>
    <w:p>
      <w:pPr>
        <w:ind w:left="420"/>
      </w:pPr>
      <w:r>
        <w:t xml:space="preserve">6. Einbauen von Rohren und Formstücken oder von Profilen,</w:t>
      </w:r>
    </w:p>
    <w:p>
      <w:pPr>
        <w:ind w:left="420"/>
      </w:pPr>
      <w:r>
        <w:t xml:space="preserve">7. Herstellen eines Mauerwerkskörpers.</w:t>
      </w:r>
    </w:p>
    <w:p>
      <w:r>
        <w:t xml:space="preserve">(5) Umfasst das Berufsausbildungsverhältnis eine Ausbildung für die erste und zweite Stufe nach § 1 Abs. 1 Nr. 1 Buchstabe c und Nr. 4 oder Abs. 2 Nr. 3, so soll die Zwischenprüfung am Ende des zweiten Ausbildungsjahres stattfinden.</w:t>
      </w:r>
    </w:p>
    <w:p>
      <w:r>
        <w:t xml:space="preserve">(6) Die inhaltlichen Anforderungen der Zwischenprüfung nach Absatz 5 ergeben sich aus § 22 Abs. 1 bis 4.</w:t>
      </w:r>
    </w:p>
    <w:p>
      <w:r>
        <w:rPr>
          <w:color w:val="555555"/>
          <w:sz w:val="17"/>
        </w:rPr>
        <w:t xml:space="preserve">Zitiervorschlag: § 21 BauWiAusbV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https://recht.nulegal.eu/gesetze/BauWiAusbV%201999/21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