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BauVorlV (Bayern)</w:t>
      </w:r>
    </w:p>
    <w:p>
      <w:r>
        <w:rPr>
          <w:color w:val="555555"/>
          <w:sz w:val="18"/>
        </w:rPr>
        <w:t xml:space="preserve">Bauvorlagenverordnung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80 Abs. 4 der Bayerischen Bauordnung (BayBO) in der Fassung der Bekanntmachung vom 14. August 2007 (GVBl S. 588, BayRS 2132-1-I) und Art. 7 Abs. 2 des Bayerischen Abgrabungsgesetzes (BayAbgrG) vom 27. Dezember 1999 (GVBl S. 532, 535, BayRS 2132-2-I) erlässt das Bayerische Staatsministerium des Innern folgende Verordnung:</w:t>
      </w:r>
    </w:p>
    <w:p>
      <w:r>
        <w:rPr>
          <w:color w:val="555555"/>
          <w:sz w:val="17"/>
        </w:rPr>
        <w:t xml:space="preserve">Zitiervorschlag: Eingangsformel BauVorlV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https://recht.nulegal.eu/gesetze/BauVorlV/eingangsformel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