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BauVorlV (Bayern) — Übereinstimmungsgebot</w:t>
      </w:r>
    </w:p>
    <w:p>
      <w:r>
        <w:rPr>
          <w:color w:val="555555"/>
          <w:sz w:val="18"/>
        </w:rPr>
        <w:t xml:space="preserve">Bauvorlagenverordnung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Bauzeichnungen, Baubeschreibungen, Berechnungen und Konstruktionszeichnungen sowie sonstige Zeichnungen und Beschreibungen, die den bautechnischen Nachweisen zugrunde liegen, müssen miteinander übereinstimmen und gleiche Positionsangaben haben.</w:t>
      </w:r>
    </w:p>
    <w:p>
      <w:r>
        <w:rPr>
          <w:color w:val="555555"/>
          <w:sz w:val="17"/>
        </w:rPr>
        <w:t xml:space="preserve">Zitiervorschlag: § 13 BauVorlV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https://recht.nulegal.eu/gesetze/BauVorlV/13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