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BauStiftG — Satzung</w:t>
      </w:r>
    </w:p>
    <w:p>
      <w:r>
        <w:rPr>
          <w:color w:val="555555"/>
          <w:sz w:val="18"/>
        </w:rPr>
        <w:t xml:space="preserve">Gesetz zur Errichtung einer "Bundesstiftung Baukultur"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 gibt sich eine Satzung, die vom Stiftungsrat mit der Mehrheit seiner Mitglieder beschlossen wird. Satzungsänderungen bedürfen ebenfalls der Mehrheit der Mitglieder des Stiftungsrats.</w:t>
      </w:r>
    </w:p>
    <w:p>
      <w:r>
        <w:rPr>
          <w:color w:val="555555"/>
          <w:sz w:val="17"/>
        </w:rPr>
        <w:t xml:space="preserve">Zitiervorschlag: § 9 BauStiftG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https://recht.nulegal.eu/gesetze/BauStiftG/9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