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BauStiftG — Stiftungsrat</w:t>
      </w:r>
    </w:p>
    <w:p>
      <w:r>
        <w:rPr>
          <w:color w:val="555555"/>
          <w:sz w:val="18"/>
        </w:rPr>
        <w:t xml:space="preserve">Gesetz zur Errichtung einer "Bundesstiftung Baukultur"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(1) Der Stiftungsrat besteht aus 13 Mitgliedern:</w:t>
      </w:r>
    </w:p>
    <w:p>
      <w:pPr>
        <w:ind w:left="420"/>
      </w:pPr>
      <w:r>
        <w:t xml:space="preserve">1. fünf Mitglieder entsendet der Deutsche Bundestag aus seiner Mitte,</w:t>
      </w:r>
    </w:p>
    <w:p>
      <w:pPr>
        <w:ind w:left="420"/>
      </w:pPr>
      <w:r>
        <w:t xml:space="preserve">2. je ein Mitglied entsenden das Bundesministerium des Innern, für Bau und Heimat, das Bundesministerium der Finanzen sowie die für Angelegenheiten der Kultur und der Medien zuständige oberste Bundesbehörde,</w:t>
      </w:r>
    </w:p>
    <w:p>
      <w:pPr>
        <w:ind w:left="420"/>
      </w:pPr>
      <w:r>
        <w:t xml:space="preserve">3. fünf Mitglieder entsendet der Konvent der Baukultur.</w:t>
      </w:r>
    </w:p>
    <w:p>
      <w:r>
        <w:t xml:space="preserve">(2) Die Entsendung der Mitglieder des Stiftungsrats erfolgt für vier Jahre. Die wiederholte Entsendung ist zulässig. Scheidet ein Mitglied vorzeitig aus, kann für den Rest seiner Amtszeit ein Nachfolger benannt werden.</w:t>
      </w:r>
    </w:p>
    <w:p>
      <w:r>
        <w:t xml:space="preserve">(3) Den Vorsitz des Stiftungsrats hat der Vertreter des Bundesministeriums des Innern, für Bau und Heimat inne.</w:t>
      </w:r>
    </w:p>
    <w:p>
      <w:r>
        <w:t xml:space="preserve">(4) Der Stiftungsrat befindet über alle Angelegenheiten, die für die Stiftung von grundsätzlicher Bedeutung sind, insbesondere über die Organisation, die mittelfristige Finanzplanung, den Wirtschaftsplan sowie das Arbeitsprogramm und seine Umsetzung.</w:t>
      </w:r>
    </w:p>
    <w:p>
      <w:r>
        <w:t xml:space="preserve">(5) In Haushalts- und Personalangelegenheiten bedürfen die Beschlüsse des Stiftungsrats der Zustimmung der Vertreter des Bundesministeriums des Innern, für Bau und Heimat und des Bundesministeriums der Finanzen.</w:t>
      </w:r>
    </w:p>
    <w:p>
      <w:r>
        <w:t xml:space="preserve">(6) Der Stiftungsrat ist beschlussfähig, wenn mehr als die Hälfte seiner Mitglieder anwesend ist. Er fasst seine Beschlüsse mit einfacher Mehrheit. Bei Stimmengleichheit entscheidet die Stimme der Vorsitzenden oder des Vorsitzenden.</w:t>
      </w:r>
    </w:p>
    <w:p>
      <w:r>
        <w:t xml:space="preserve">(7) Die Mitglieder des Stiftungsrats sind ehrenamtlich tätig und haben Anspruch auf eine Reisekostenentschädigung nach Maßgabe des Bundesreisekostengesetzes.</w:t>
      </w:r>
    </w:p>
    <w:p>
      <w:r>
        <w:t xml:space="preserve">(8) Das Nähere regelt die Satzung.</w:t>
      </w:r>
    </w:p>
    <w:p>
      <w:r>
        <w:rPr>
          <w:color w:val="555555"/>
          <w:sz w:val="17"/>
        </w:rPr>
        <w:t xml:space="preserve">Zitiervorschlag: § 7 BauStiftG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https://recht.nulegal.eu/gesetze/BauStiftG/7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