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BauStiftG — Organe der Stiftung</w:t>
      </w:r>
    </w:p>
    <w:p>
      <w:r>
        <w:rPr>
          <w:color w:val="555555"/>
          <w:sz w:val="18"/>
        </w:rPr>
        <w:t xml:space="preserve">Gesetz zur Errichtung einer "Bundesstiftung Baukultur"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Organe der Stiftung sind</w:t>
      </w:r>
    </w:p>
    <w:p>
      <w:pPr>
        <w:ind w:left="420"/>
      </w:pPr>
      <w:r>
        <w:t xml:space="preserve">1. der Vorstand,</w:t>
      </w:r>
    </w:p>
    <w:p>
      <w:pPr>
        <w:ind w:left="420"/>
      </w:pPr>
      <w:r>
        <w:t xml:space="preserve">2. der Stiftungsrat,</w:t>
      </w:r>
    </w:p>
    <w:p>
      <w:pPr>
        <w:ind w:left="420"/>
      </w:pPr>
      <w:r>
        <w:t xml:space="preserve">3. der Beirat.</w:t>
      </w:r>
    </w:p>
    <w:p>
      <w:r>
        <w:rPr>
          <w:color w:val="555555"/>
          <w:sz w:val="17"/>
        </w:rPr>
        <w:t xml:space="preserve">Zitiervorschlag: § 5 BauStiftG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https://recht.nulegal.eu/gesetze/BauStiftG/5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