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BauStiftG — Inkrafttreten</w:t>
      </w:r>
    </w:p>
    <w:p>
      <w:r>
        <w:rPr>
          <w:color w:val="555555"/>
          <w:sz w:val="18"/>
        </w:rPr>
        <w:t xml:space="preserve">Gesetz zur Errichtung einer "Bundesstiftung Baukultur"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13 BauStiftG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