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BauStiftG — Arbeitnehmerinnen und Arbeitnehmer</w:t>
      </w:r>
    </w:p>
    <w:p>
      <w:r>
        <w:rPr>
          <w:color w:val="555555"/>
          <w:sz w:val="18"/>
        </w:rPr>
        <w:t xml:space="preserve">Gesetz zur Errichtung einer "Bundesstiftung Baukultur"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durch Arbeitnehmerinnen und Arbeitnehmer wahrgenommen.</w:t>
      </w:r>
    </w:p>
    <w:p>
      <w:r>
        <w:t xml:space="preserve">(2) Auf die Arbeitsverhältnisse der Arbeitnehmerinnen und Arbeitnehmer der Stiftung sind die für die Arbeitnehmerinnen und Arbeitnehmer des Bundes jeweils geltenden Tarifverträge und sonstigen Bestimmungen anzuwenden.</w:t>
      </w:r>
    </w:p>
    <w:p>
      <w:r>
        <w:rPr>
          <w:color w:val="555555"/>
          <w:sz w:val="17"/>
        </w:rPr>
        <w:t xml:space="preserve">Zitiervorschlag: § 11 BauStiftG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