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BauSparkV 2015</w:t>
      </w:r>
    </w:p>
    <w:p>
      <w:r>
        <w:rPr>
          <w:color w:val="555555"/>
          <w:sz w:val="18"/>
        </w:rPr>
        <w:t xml:space="preserve">Bausparkassen-Verordnung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des Gesetzes über Bausparkassen, der zuletzt durch Artikel 1 Nummer 12 des Gesetzes vom 21. Dezember 2015 (BGBl. I S. 2399) geändert worden ist, in Verbindung mit § 1 der Verordnung zur Übertragung der Ermächtigung zum Erlass von Rechtsverordnungen nach § 10 Satz 1 des Gesetzes über Bausparkassen auf die Bundesanstalt für Finanzdienstleistungsaufsicht, der durch Artikel 1 Absatz 4 Nummer 2 der Verordnung vom 13. Dezember 2002 (BGBl. 2003 I S. 2) geändert worden ist, verordnet die Bundesanstalt für Finanzdienstleistungsaufsicht nach Anhörung der Deutschen Bundesbank und der Spitzenverbände der Bausparkassen:</w:t>
      </w:r>
    </w:p>
    <w:p>
      <w:r>
        <w:rPr>
          <w:color w:val="555555"/>
          <w:sz w:val="17"/>
        </w:rPr>
        <w:t xml:space="preserve">Zitiervorschlag: Eingangsformel BauSparkV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