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BauSparkV 2015 — Tarifgenehmigungsanträge und Anträge auf Genehmigung von Bestandsübertragungen</w:t>
      </w:r>
    </w:p>
    <w:p>
      <w:r>
        <w:rPr>
          <w:color w:val="555555"/>
          <w:sz w:val="18"/>
        </w:rPr>
        <w:t xml:space="preserve">Bausparkassen-Verordnung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Bausparkasse hat Anträgen auf eine Genehmigung nach § 9 Absatz 1 Satz 1 und 2 und nach § 14 Absatz 3 des Gesetzes über Bausparkassen insbesondere die nachfolgend aufgeführten Unterlagen beizufügen:</w:t>
      </w:r>
    </w:p>
    <w:p>
      <w:pPr>
        <w:ind w:left="420"/>
      </w:pPr>
      <w:r>
        <w:t xml:space="preserve">1. die Allgemeinen Geschäftsgrundsätze und Allgemeinen Bedingungen für Bausparverträge, die Gegenstand des Antrags sind, sowie</w:t>
      </w:r>
    </w:p>
    <w:p>
      <w:pPr>
        <w:ind w:left="420"/>
      </w:pPr>
      <w:r>
        <w:t xml:space="preserve">2. Nachweise darüber, dass die Anforderungen nach § 4 eingehalten worden sind.</w:t>
      </w:r>
    </w:p>
    <w:p>
      <w:r>
        <w:t xml:space="preserve">Die Unterlagen können auch in elektronischer Form bei der Bundesanstalt vorgelegt werden.</w:t>
      </w:r>
    </w:p>
    <w:p>
      <w:r>
        <w:t xml:space="preserve">(2) Die Bausparkasse hat Anträgen auf eine Genehmigung nach § 14 Absatz 1 des Gesetzes über Bausparkassen insbesondere die folgenden Unterlagen beizufügen:</w:t>
      </w:r>
    </w:p>
    <w:p>
      <w:pPr>
        <w:ind w:left="420"/>
      </w:pPr>
      <w:r>
        <w:t xml:space="preserve">1. den Vertrag, durch den der Bestand an Bausparverträgen mit den zugehörigen Aktiva und Passiva auf eine andere oder auf mehrere andere Bausparkassen ganz oder teilweise übertragen werden soll, sowie</w:t>
      </w:r>
    </w:p>
    <w:p>
      <w:pPr>
        <w:ind w:left="420"/>
      </w:pPr>
      <w:r>
        <w:t xml:space="preserve">2. Unterlagen, aus denen hervorgeht, dass die Anforderungen nach § 4 eingehalten werden.</w:t>
      </w:r>
    </w:p>
    <w:p>
      <w:r>
        <w:t xml:space="preserve">(3) § 2 Absatz 8 bleibt von den Absätzen 1 und 2 unberührt.</w:t>
      </w:r>
    </w:p>
    <w:p>
      <w:r>
        <w:rPr>
          <w:color w:val="555555"/>
          <w:sz w:val="17"/>
        </w:rPr>
        <w:t xml:space="preserve">Zitiervorschlag: § 6 BauSparkV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https://recht.nulegal.eu/gesetze/BauSparkV%202015/6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