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BauSparkV 2015 — Begrenzung der nicht durch Grundpfandrechte gesicherten Darlehen</w:t>
      </w:r>
    </w:p>
    <w:p>
      <w:r>
        <w:rPr>
          <w:color w:val="555555"/>
          <w:sz w:val="18"/>
        </w:rPr>
        <w:t xml:space="preserve">Bausparkassen-Verordnung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Anteil der Darlehen, für die Ersatzsicherheiten nach § 7 Absatz 3 des Gesetzes über Bausparkassen gestellt werden, sowie der Darlehen nach § 12 Absatz 1 darf insgesamt 45 Prozent des Gesamtbestandes der Forderungen aus Darlehen einer Bausparkasse nicht übersteigen.</w:t>
      </w:r>
    </w:p>
    <w:p>
      <w:r>
        <w:rPr>
          <w:color w:val="555555"/>
          <w:sz w:val="17"/>
        </w:rPr>
        <w:t xml:space="preserve">Zitiervorschlag: § 13 BauSparkV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https://recht.nulegal.eu/gesetze/BauSparkV%202015/13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