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BauSparkG — Änderung der Allgemeinen Geschäftsgrundsätze und der Allgemeinen Bedingungen für Bausparverträge</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Änderungen und Ergänzungen der Allgemeinen Geschäftsgrundsätze und der Allgemeinen Bedingungen für Bausparverträge, welche die in § 5 Abs. 2 und 3 Nr. 1, 2, 4 bis 9 aufgeführten Bestimmungen betreffen, sowie die Allgemeinen Geschäftsgrundsätze und die Allgemeinen Bedingungen für Bausparverträge, die neuen Bauspartarifen zugrunde gelegt werden sollen, bedürfen der Genehmigung der Bundesanstalt; § 37 Abs. 4 des Verwaltungsverfahrensgesetzes ist anzuwenden. Die Genehmigung kann auch mit Wirkung für bestehende Verträge erteilt werden, sofern die Änderungen und Ergänzungen zur hinreichenden Wahrung der Belange der Bausparer erforderlich erscheinen. Die Genehmigung kann insbesondere versagt werden, wenn die Voraussetzungen des § 5 oder der nach § 10 in Konkretisierung des § 5 zu erlassenden Rechtsverordnung nicht vorliegen. Sonstige Änderungen und Ergänzungen sind der Bundesanstalt mindestens drei Monate vor ihrem Inkrafttreten anzuzeigen.</w:t>
      </w:r>
    </w:p>
    <w:p>
      <w:r>
        <w:t xml:space="preserve">(2) Erscheint die Erfüllung der von der Bausparkasse in den Bausparverträgen übernommenen Verpflichtungen nicht mehr gewährleistet, so kann die Bundesanstalt verlangen, daß die Bausparkasse die Allgemeinen Geschäftsgrundsätze und die Allgemeinen Bedingungen für Bausparverträge ändert. Unter der gleichen Voraussetzung kann die Bundesanstalt, unbeschadet ihrer Befugnisse nach § 46 Abs. 1 des Kreditwesengesetzes, der Bausparkasse den Abschluß neuer Verträge verbieten.</w:t>
      </w:r>
    </w:p>
    <w:p>
      <w:r>
        <w:rPr>
          <w:color w:val="555555"/>
          <w:sz w:val="17"/>
        </w:rPr>
        <w:t xml:space="preserve">Zitiervorschlag: § 9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