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BauSparkG — Zweckbindung</w:t>
      </w:r>
    </w:p>
    <w:p>
      <w:r>
        <w:rPr>
          <w:color w:val="555555"/>
          <w:sz w:val="18"/>
        </w:rPr>
        <w:t xml:space="preserve">Gesetz über Bausparkassen</w:t>
      </w:r>
    </w:p>
    <w:p>
      <w:r>
        <w:rPr>
          <w:color w:val="555555"/>
          <w:sz w:val="18"/>
        </w:rPr>
        <w:t xml:space="preserve">Stand: 10.06.2019 (konsolidierte Textfassung, kein amtliches Inkrafttretensdatum)</w:t>
      </w:r>
    </w:p>
    <w:p>
      <w:r>
        <w:t xml:space="preserve">(1) Die Zuteilungsmasse im Sinne des § 1 Absatz 6 darf nur für das Bauspargeschäft und zur Rückzahlung fremder Gelder, die der Zuteilungsmasse zugeführt worden sind, verwendet werden. Mittel aus der Zuteilungsmasse, die vorübergehend nicht für die Zuteilung verwendet werden können, darf die Bausparkasse zwischenzeitlich</w:t>
      </w:r>
    </w:p>
    <w:p>
      <w:pPr>
        <w:ind w:left="420"/>
      </w:pPr>
      <w:r>
        <w:t xml:space="preserve">1. nach § 4 Absatz 3 anlegen sowie</w:t>
      </w:r>
    </w:p>
    <w:p>
      <w:pPr>
        <w:ind w:left="420"/>
      </w:pPr>
      <w:r>
        <w:t xml:space="preserve">2. mit Genehmigung der Bundesanstalt zur Gewährung von Darlehen nach § 4 Absatz 1 Nummer 1 und 2 verwenden, wenn die Bausparkasse auf Grund einer nachhaltig gesicherten Liquidität ihrer Zuteilungsmasse ohne die Zuführung von Eigenmitteln und Fremdmitteln und ohne die Mittel des Fonds zur bauspartechnischen Absicherung jederzeit in der Lage ist, Ansprüche auf Auszahlung der Bauspardarlehen und Bauspareinlagen zu befriedigen.</w:t>
      </w:r>
    </w:p>
    <w:p>
      <w:r>
        <w:t xml:space="preserve">Die Zuteilungsmasse ist mit dem Ziel gleichmäßiger, möglichst kurzer Wartezeiten einzusetzen. Die Bundesanstalt kann eine Genehmigung nach Satz 2 Nummer 2 jederzeit widerrufen, insbesondere wenn die Voraussetzungen des Satzes 2 Nummer 2 nicht mehr vorliegen.</w:t>
      </w:r>
    </w:p>
    <w:p>
      <w:r>
        <w:t xml:space="preserve">(2) Bausparkassen haben zur Wahrung der Belange der Bausparer einen Sonderposten „Fonds zur bauspartechnischen Absicherung“ zu bilden, der Folgendes absichert:</w:t>
      </w:r>
    </w:p>
    <w:p>
      <w:pPr>
        <w:ind w:left="420"/>
      </w:pPr>
      <w:r>
        <w:t xml:space="preserve">1. die Gewährleistung gleichmäßiger, möglichst kurzer Wartezeiten und</w:t>
      </w:r>
    </w:p>
    <w:p>
      <w:pPr>
        <w:ind w:left="420"/>
      </w:pPr>
      <w:r>
        <w:t xml:space="preserve">2. die für den nachhaltigen Betrieb des Bauspargeschäfts erforderliche kollektiv bedingte Zinsspanne.</w:t>
      </w:r>
    </w:p>
    <w:p>
      <w:r>
        <w:t xml:space="preserve">Hierzu müssen Überschüsse aus einer Anlage der Kollektivmittel dem Sonderposten zugeführt werden, und zwar in Höhe des Unterschiedsbetrages zwischen dem erzielten Ertrag aus der Anlage der Kollektivmittel und dem Zinsertrag, der sich bei Anlage der gesamten Kollektivmittel in Bauspardarlehen ergeben hätte (Mehrerträge). Der Sonderposten ist von der Bausparkasse gemäß Satz 1 zu verwenden. Darüber hinaus kann er mit Genehmigung der Bundesanstalt unter hinreichender Wahrung der Belange der Bausparer verwendet werden, wenn dies geeignet und erforderlich erscheint, um ein bausparspezifisches Risiko für den nachhaltigen Betrieb des Bauspargeschäfts zu beseitigen. Ein bausparspezifisches Risiko für den nachhaltigen Betrieb des Bauspargeschäfts kann insbesondere vorliegen, wenn</w:t>
      </w:r>
    </w:p>
    <w:p>
      <w:pPr>
        <w:ind w:left="420"/>
      </w:pPr>
      <w:r>
        <w:t xml:space="preserve">1. die Wartezeiten unangemessen lang sind,</w:t>
      </w:r>
    </w:p>
    <w:p>
      <w:pPr>
        <w:ind w:left="420"/>
      </w:pPr>
      <w:r>
        <w:t xml:space="preserve">2. die Zuteilung nicht gewährleistet erscheint oder</w:t>
      </w:r>
    </w:p>
    <w:p>
      <w:pPr>
        <w:ind w:left="420"/>
      </w:pPr>
      <w:r>
        <w:t xml:space="preserve">3. die Erfüllung der von der Bausparkasse in den Bausparverträgen übernommenen Verpflichtungen nicht gewährleistet erscheint.</w:t>
      </w:r>
    </w:p>
    <w:p>
      <w:r>
        <w:t xml:space="preserve">Die Bausparkasse darf am Ende eines Geschäftsjahres diesen Sonderposten auflösen, soweit er zu diesem Zeitpunkt 3 Prozent der Bauspareinlagen übersteigt.</w:t>
      </w:r>
    </w:p>
    <w:p>
      <w:r>
        <w:t xml:space="preserve">(3) Forderungen aus Bauspardarlehen und die zu ihrer Sicherheit dienenden Grundpfandrechte und sonstigen Sicherheiten dürfen nur für das Bauspargeschäft und für das Geschäft mit Vorfinanzierungs- und Zwischenfinanzierungskrediten veräußert, beliehen oder verpfändet werden. Das Gleiche gilt für Forderungen aus Vorfinanzierungs- und Zwischenfinanzierungskrediten sowie sonstigen Baudarlehen für wohnungswirtschaftliche Maßnahmen und die zu ihrer Sicherheit dienenden Grundpfandrechte und sonstigen Sicherheiten. § 4 Absatz 1 Nummer 5 Buchstabe c bleibt hiervon unberührt.</w:t>
      </w:r>
    </w:p>
    <w:p>
      <w:r>
        <w:rPr>
          <w:color w:val="555555"/>
          <w:sz w:val="17"/>
        </w:rPr>
        <w:t xml:space="preserve">Zitiervorschlag: § 6 BauSparkG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https://recht.nulegal.eu/gesetze/BauSparkG/6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