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BauSparkG — Zulässige Geschäfte</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Bausparkassen dürfen außer dem Bauspargeschäft nur folgende Geschäfte betreiben:</w:t>
      </w:r>
    </w:p>
    <w:p>
      <w:pPr>
        <w:ind w:left="420"/>
      </w:pPr>
      <w:r>
        <w:t xml:space="preserve">1. Gelddarlehen gewähren, die der Vorfinanzierung oder der Zwischenfinanzierung von Leistungen der Bausparkasse auf Bausparverträge ihrer Bausparer dienen (Vorfinanzierungskredite oder Zwischenfinanzierungskredite);</w:t>
      </w:r>
    </w:p>
    <w:p>
      <w:pPr>
        <w:ind w:left="420"/>
      </w:pPr>
      <w:r>
        <w:t xml:space="preserve">2. für wohnungswirtschaftliche Maßnahmen sonstige Gelddarlehen nach Maßgabe des Absatzes 2 gewähren (sonstige Baudarlehen);</w:t>
      </w:r>
    </w:p>
    <w:p>
      <w:pPr>
        <w:ind w:left="420"/>
      </w:pPr>
      <w:r>
        <w:t xml:space="preserve">3. Gelddarlehen Dritter verwalten, vermitteln und im eigenen oder fremden Namen und für Rechnung Dritter bewilligen, wenn die Darlehen der Finanzierung wohnungswirtschaftlicher Maßnahmen dienen;</w:t>
      </w:r>
    </w:p>
    <w:p>
      <w:pPr>
        <w:ind w:left="420"/>
      </w:pPr>
      <w:r>
        <w:t xml:space="preserve">4. nach Maßgabe des Absatzes 2 Gewährleistungen für Gelddarlehen Dritter übernehmen, welche die Bausparkasse selbst zu geben befugt wäre und die in der in § 7 vorgeschriebenen Weise gesichert sind;</w:t>
      </w:r>
    </w:p>
    <w:p>
      <w:pPr>
        <w:ind w:left="420"/>
      </w:pPr>
      <w:r>
        <w:t xml:space="preserve">5. zur Gewährung von Bauspardarlehen und von Darlehen nach den Nummern 1 und 2, zur Erfüllung von Verpflichtungen aus Verträgen nach § 1 Abs. 2 Satz 2 sowie zur Beschaffung der darüber hinaus für den Geschäftsbetrieb erforderlichen Mittel</w:t>
      </w:r>
    </w:p>
    <w:p>
      <w:pPr>
        <w:ind w:left="780"/>
      </w:pPr>
      <w:r>
        <w:t xml:space="preserve">a) fremde Gelder von Kreditinstituten und sonstigen Kapitalsammelstellen aufnehmen,</w:t>
      </w:r>
    </w:p>
    <w:p>
      <w:pPr>
        <w:ind w:left="780"/>
      </w:pPr>
      <w:r>
        <w:t xml:space="preserve">b) fremde Gelder von sonstigen Gläubigern entgegennehmen,</w:t>
      </w:r>
    </w:p>
    <w:p>
      <w:pPr>
        <w:ind w:left="780"/>
      </w:pPr>
      <w:r>
        <w:t xml:space="preserve">c) vorbehaltlich einer Erlaubnis nach § 2 Absatz 1 Satz 1 des Pfandbriefgesetzes Hypothekenpfandbriefe im Sinne des § 1 Absatz 1 Satz 2 Nummer 1 des Pfandbriefgesetzes nach den Bestimmungen des Pfandbriefgesetzes ausgeben,</w:t>
      </w:r>
    </w:p>
    <w:p>
      <w:pPr>
        <w:ind w:left="780"/>
      </w:pPr>
      <w:r>
        <w:t xml:space="preserve">d) sonstige Schuldverschreibungen ausgeben;</w:t>
      </w:r>
    </w:p>
    <w:p>
      <w:pPr>
        <w:ind w:left="420"/>
      </w:pPr>
      <w:r>
        <w:t xml:space="preserve">6. sich an Unternehmen beteiligen, wenn die Beteiligungen dazu dienen, die nach § 1 betriebenen Geschäfte zu fördern, und die Haftung der Bausparkasse aus den Beteiligungen durch die Rechtsform des Unternehmens beschränkt ist, mit der Maßgabe, daß die einzelne Beteiligung insgesamt den dritten Teil des Kapitals (Nennkapital, Summe der Kapitalanteile) des Unternehmens nicht übersteigen darf. Eine höhere Beteiligung ist zulässig, sofern der Geschäftszweck des Unternehmens gesetzlich oder satzungsmäßig im wesentlichen auf solche Geschäfte ausgerichtet ist, welche die Bausparkasse selbst betreiben darf; der Gesamtbetrag dieser Beteiligungen darf zwanzig vom Hundert des haftenden Eigenkapitals der Bausparkasse nicht übersteigen; die Regelungen des Absatzes 3 Satz 1 Nummer 8, Satz 2 und 3 bleiben hiervon unberührt;</w:t>
      </w:r>
    </w:p>
    <w:p>
      <w:pPr>
        <w:ind w:left="420"/>
      </w:pPr>
      <w:r>
        <w:t xml:space="preserve">7. Gelddarlehen an Unternehmen gewähren, an denen die Bausparkasse beteiligt ist;</w:t>
      </w:r>
    </w:p>
    <w:p>
      <w:pPr>
        <w:ind w:left="420"/>
      </w:pPr>
      <w:r>
        <w:t xml:space="preserve">8. die Gelegenheit zum Abschluss von Verträgen über den Erwerb, die Veräußerung oder die Nutzung von Grundstücken und Räumen nachweisen;</w:t>
      </w:r>
    </w:p>
    <w:p>
      <w:pPr>
        <w:ind w:left="420"/>
      </w:pPr>
      <w:r>
        <w:t xml:space="preserve">9. Wertermittlungen und Standortanalysen sowie Finanzierungsberatungen auch unabhängig von der Gewährung von eigenen Darlehen durchführen;</w:t>
      </w:r>
    </w:p>
    <w:p>
      <w:pPr>
        <w:ind w:left="420"/>
      </w:pPr>
      <w:r>
        <w:t xml:space="preserve">10. verfügbares Geld nach Maßgabe des Absatzes 3 anlegen;</w:t>
      </w:r>
    </w:p>
    <w:p>
      <w:pPr>
        <w:ind w:left="420"/>
      </w:pPr>
      <w:r>
        <w:t xml:space="preserve">11. sonstige Geschäfte betreiben, die mit dem Bauspargeschäft oder mit den nach den Nummern 1 bis 10 zulässigen Geschäften in einem unmittelbaren Zusammenhang stehen, diesem nützlich und allenfalls mit einem geringen Risiko verbunden sind sowie keine neuen Geschäftskreise eröffnen.</w:t>
      </w:r>
    </w:p>
    <w:p>
      <w:r>
        <w:t xml:space="preserve">(2) Der Gesamtbetrag der Forderungen aus Darlehen nach Absatz 1 Nr. 2 und der Gewährleistungen nach Absatz 1 Nr. 4 darf den Gesamtbetrag der Bauspardarlehen und der Darlehen nach Absatz 1 Nr. 1 nicht übersteigen.</w:t>
      </w:r>
    </w:p>
    <w:p>
      <w:r>
        <w:t xml:space="preserve">(3) Verfügbares Geld dürfen die Bausparkassen anlegen in</w:t>
      </w:r>
    </w:p>
    <w:p>
      <w:pPr>
        <w:ind w:left="420"/>
      </w:pPr>
      <w:r>
        <w:t xml:space="preserve">1. Guthaben bei dem einheitlichen Aufsichtsmechanismus nach Artikel 6 der Verordnung (EU) Nr. 1024/2013 oder einer staatlichen Aufsicht unterliegenden Kreditinstituten in der Europäischen Union, in anderen Vertragsstaaten des Abkommens über den Europäischen Wirtschaftsraum oder in der Schweiz,</w:t>
      </w:r>
    </w:p>
    <w:p>
      <w:pPr>
        <w:ind w:left="420"/>
      </w:pPr>
      <w:r>
        <w:t xml:space="preserve">2. Namensschuldverschreibungen, die von den in Nummer 1 genannten Kreditinstituten ausgegeben werden,</w:t>
      </w:r>
    </w:p>
    <w:p>
      <w:pPr>
        <w:ind w:left="420"/>
      </w:pPr>
      <w:r>
        <w:t xml:space="preserve">3. Einlagenzertifikate von den in Nummer 1 genannten Kreditinstituten, sofern diese Papiere eine restliche Laufzeit von höchstens zwölf Monaten haben,</w:t>
      </w:r>
    </w:p>
    <w:p>
      <w:pPr>
        <w:ind w:left="420"/>
      </w:pPr>
      <w:r>
        <w:t xml:space="preserve">4. Schuldbuchforderungen, unverzinslichen Schatzanweisungen und Schatzwechseln des Bundes, seiner Sondervermögen und der Länder sowie vergleichbaren Schuldtiteln der Europäischen Union, ihrer Mitgliedstaaten oder anderer Vertragsstaaten des Abkommens über den Europäischen Wirtschaftsraum sowie der Schweiz,</w:t>
      </w:r>
    </w:p>
    <w:p>
      <w:pPr>
        <w:ind w:left="420"/>
      </w:pPr>
      <w:r>
        <w:t xml:space="preserve">5. Schuldverschreibungen,</w:t>
      </w:r>
    </w:p>
    <w:p>
      <w:pPr>
        <w:ind w:left="780"/>
      </w:pPr>
      <w:r>
        <w:t xml:space="preserve">a) die von einer der in Nummer 4 bezeichneten Stellen ausgegeben wurden,</w:t>
      </w:r>
    </w:p>
    <w:p>
      <w:pPr>
        <w:ind w:left="780"/>
      </w:pPr>
      <w:r>
        <w:t xml:space="preserve">b) für deren Verzinsung und Rückzahlung eine der in Nummer 4 bezeichneten Stellen die Gewährleistung übernommen hat oder</w:t>
      </w:r>
    </w:p>
    <w:p>
      <w:pPr>
        <w:ind w:left="780"/>
      </w:pPr>
      <w:r>
        <w:t xml:space="preserve">c) die zum Handel an einem organisierten Markt nach § 2 Absatz 11 des Wertpapierhandelsgesetzes zugelassen sind und bei denen die Erfüllung der Leistungspflichten aus der Schuldverschreibung während der gesamten Laufzeit gewährleistet erscheint,</w:t>
      </w:r>
    </w:p>
    <w:p>
      <w:pPr>
        <w:ind w:left="420"/>
      </w:pPr>
      <w:r>
        <w:t xml:space="preserve">6. Forderungen aus Gelddarlehen, über die ein Schuldschein ausgestellt wurde, sofern diese Forderungen nach dem Erwerb durch die Bausparkasse mindestens zweimal abgetreten werden können und das Darlehen gewährt wurde,</w:t>
      </w:r>
    </w:p>
    <w:p>
      <w:pPr>
        <w:ind w:left="780"/>
      </w:pPr>
      <w:r>
        <w:t xml:space="preserve">a) einer der in Nummer 4 bezeichneten Stellen, einer anderen regionalen oder lokalen Gebietskörperschaft im Sinne des Artikels 115 der Verordnung (EU) Nr. 575/2013 eines Mitgliedstaats der Europäischen Union oder eines anderen Vertragsstaats des Abkommens über den Europäischen Wirtschaftsraum oder der Schweiz,</w:t>
      </w:r>
    </w:p>
    <w:p>
      <w:pPr>
        <w:ind w:left="780"/>
      </w:pPr>
      <w:r>
        <w:t xml:space="preserve">b) geeigneten sonstigen Körperschaften oder Anstalten des öffentlichen Rechts im Inland oder in einem anderen Mitgliedstaat der Europäischen Union oder in einem anderen Vertragsstaat des Abkommens über den Europäischen Wirtschaftsraum oder in der Schweiz,</w:t>
      </w:r>
    </w:p>
    <w:p>
      <w:pPr>
        <w:ind w:left="780"/>
      </w:pPr>
      <w:r>
        <w:t xml:space="preserve">c) Unternehmen, die Wertpapiere ausgegeben haben, die zum Handel an einem organisierten Markt nach § 2 Absatz 11 des Wertpapierhandelsgesetzes zugelassen sind, oder</w:t>
      </w:r>
    </w:p>
    <w:p>
      <w:pPr>
        <w:ind w:left="780"/>
      </w:pPr>
      <w:r>
        <w:t xml:space="preserve">d) gegen Übernahme der Gewährleistung für die Verzinsung und Rückzahlung durch eine der in Nummer 4 bezeichneten Stellen;</w:t>
      </w:r>
    </w:p>
    <w:p>
      <w:pPr>
        <w:ind w:left="420"/>
      </w:pPr>
      <w:r>
        <w:t xml:space="preserve">der Gesamtbetrag dieser Forderungen der Bausparkasse darf ihr haftendes Eigenkapital nicht übersteigen;</w:t>
      </w:r>
    </w:p>
    <w:p>
      <w:pPr>
        <w:ind w:left="420"/>
      </w:pPr>
      <w:r>
        <w:t xml:space="preserve">7. Investmentanteilen an einem nach dem Grundsatz der Risikomischung angelegten Vermögen, die von einer Kapitalverwaltungsgesellschaft oder von einer ausländischen Investmentgesellschaft, die jeweils zum Schutz der Anteilinhaber einer besonderen öffentlichen Aufsicht unterliegt, ausgegeben wurden, wenn nach den Vertragsbedingungen oder der Satzung der Kapitalverwaltungsgesellschaft oder der Investmentgesellschaft das Vermögen nur in den Schuldtiteln nach den Nummern 1 bis 6 und 8 sowie in Bankguthaben angelegt werden darf,</w:t>
      </w:r>
    </w:p>
    <w:p>
      <w:pPr>
        <w:ind w:left="420"/>
      </w:pPr>
      <w:r>
        <w:t xml:space="preserve">8. Aktien,</w:t>
      </w:r>
    </w:p>
    <w:p>
      <w:pPr>
        <w:ind w:left="780"/>
      </w:pPr>
      <w:r>
        <w:t xml:space="preserve">a) die voll eingezahlt sind und</w:t>
      </w:r>
    </w:p>
    <w:p>
      <w:pPr>
        <w:ind w:left="780"/>
      </w:pPr>
      <w:r>
        <w:t xml:space="preserve">b) die zum Handel zugelassen oder an einem anderen organisierten Markt zugelassen oder in diesen einbezogen oder an einer Börse in einem Staat außerhalb des Europäischen Wirtschaftsraums zum Handel zugelassen oder dort an einem anderen organisierten Markt zugelassen oder in diesen einbezogen sind.</w:t>
      </w:r>
    </w:p>
    <w:p>
      <w:r>
        <w:t xml:space="preserve">Die Anlagen nach Satz 1 Nummer 8 dürfen unter Berücksichtigung von Investmentanteilen nach Satz 1 Nummer 7 insgesamt 5 Prozent der Summe der Zuteilungsmasse gemäß § 1 Absatz 6 nicht übersteigen. Die Anlagen nach Satz 1 Nummer 8 bei demselben Unternehmen dürfen unter Berücksichtigung von Investmentanteilen nach Satz 1 Nummer 7 0,2 Prozent der Summe der Zuteilungsmasse gemäß § 1 Absatz 6 nicht übersteigen.</w:t>
      </w:r>
    </w:p>
    <w:p>
      <w:r>
        <w:t xml:space="preserve">(3a) Soweit eine Bausparkasse im Rahmen der betrieblichen Altersversorgung in zulässiger Art und Weise sowie in zulässigem Umfang zur Erfüllung von Ansprüchen aus betrieblicher Altersversorgung einem Dritten Vermögensgegenstände überlässt, die ausschließlich der Erfüllung von Verbindlichkeiten aus Altersversorgungsverpflichtungen dienen und dem Zugriff aller übrigen Gläubiger entzogen sind, unterliegt der Dritte bei der Anlage dieser Vermögensgegenstände nicht den Beschränkungen des Absatzes 3. Die Vermögensgegenstände sind unter Berücksichtigung der Art und Dauer der Altersversorgungsverpflichtungen so anzulegen, dass möglichst große Sicherheit und Rentabilität unter Wahrung angemessener Mischung und Streuung sowie der Liquidität zur Erfüllung der Verbindlichkeiten erreicht wird.</w:t>
      </w:r>
    </w:p>
    <w:p>
      <w:r>
        <w:t xml:space="preserve">(4) Bausparkassen ist der Erwerb von Grundstücken, Erbbaurechten, Rechten in der Form des Wohnungseigentums, Teileigentums, Wohnungserbbaurechts und Teilerbbaurechts nur zur Verhütung von Ausfällen an Forderungen und zur Beschaffung von Geschäftsräumen sowie von Wohnräumen für ihre Betriebsangehörigen gestattet.</w:t>
      </w:r>
    </w:p>
    <w:p>
      <w:r>
        <w:t xml:space="preserve">(5) Bausparkassen können sich vor Zuteilung eines Bausparvertrages nicht verpflichten, die Bausparsumme zu einem bestimmten Zeitpunkt auszuzahlen.</w:t>
      </w:r>
    </w:p>
    <w:p>
      <w:r>
        <w:rPr>
          <w:color w:val="555555"/>
          <w:sz w:val="17"/>
        </w:rPr>
        <w:t xml:space="preserve">Zitiervorschlag: § 4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