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BauSparkG — Aufsicht</w:t>
      </w:r>
    </w:p>
    <w:p>
      <w:r>
        <w:rPr>
          <w:color w:val="555555"/>
          <w:sz w:val="18"/>
        </w:rPr>
        <w:t xml:space="preserve">Gesetz über Bausparkassen</w:t>
      </w:r>
    </w:p>
    <w:p>
      <w:r>
        <w:rPr>
          <w:color w:val="555555"/>
          <w:sz w:val="18"/>
        </w:rPr>
        <w:t xml:space="preserve">Stand: 10.06.2019 (konsolidierte Textfassung, kein amtliches Inkrafttretensdatum)</w:t>
      </w:r>
    </w:p>
    <w:p>
      <w:r>
        <w:t xml:space="preserve">(1) Die Aufsichtsbehörde übt die Aufsicht über die Bausparkassen nach den Vorschriften dieses Gesetzes, des Kreditwesengesetzes und der in § 6 Absatz 1 Satz 1 des Kreditwesengesetzes genannten Gesetze und Verordnungen aus. Sie ist befugt, im Rahmen der Aufsicht alle Anordnungen zu treffen, die erforderlich sind, um den Geschäftsbetrieb einer Bausparkasse mit den Allgemeinen Geschäftsgrundsätzen und den Allgemeinen Bedingungen für Bausparverträge im Einklang zu erhalten.</w:t>
      </w:r>
    </w:p>
    <w:p>
      <w:r>
        <w:t xml:space="preserve">(2) Soweit Bausparkassen einer anderen staatlichen Aufsicht unterliegen, bleibt diese neben der Aufsicht der Aufsichtsbehörde bestehen.</w:t>
      </w:r>
    </w:p>
    <w:p>
      <w:r>
        <w:t xml:space="preserve">(3) Die Bundesanstalt entscheidet in Zweifelsfällen, ob ein Unternehmen den Vorschriften dieses Gesetzes unterliegt. Ihre Entscheidungen binden die Verwaltungsbehörden.</w:t>
      </w:r>
    </w:p>
    <w:p>
      <w:r>
        <w:t xml:space="preserve">(4) Die Bausparkasse hat die Genehmigungen der Bundesanstalt nach diesem Gesetz schriftlich oder elektronisch zu beantragen. Sie hat dem Antrag jeweils sämtliche Unterlagen und Informationen beizufügen, die zur Beurteilung des Antrags erforderlich sind. Die Bundesanstalt kann die Genehmigung versagen, wenn der Antrag keine ausreichenden Unterlagen oder Informationen enthält.</w:t>
      </w:r>
    </w:p>
    <w:p>
      <w:r>
        <w:t xml:space="preserve">(5) Bausparkassen haben der Bundesanstalt laufend, mindestens einmal jährlich, über</w:t>
      </w:r>
    </w:p>
    <w:p>
      <w:pPr>
        <w:ind w:left="420"/>
      </w:pPr>
      <w:r>
        <w:t xml:space="preserve">1. die Erfüllbarkeit der von der Bausparkasse übernommenen Verpflichtungen,</w:t>
      </w:r>
    </w:p>
    <w:p>
      <w:pPr>
        <w:ind w:left="420"/>
      </w:pPr>
      <w:r>
        <w:t xml:space="preserve">2. den Bestand an Bausparverträgen mit den zugehörigen Aktiva und Passiva,</w:t>
      </w:r>
    </w:p>
    <w:p>
      <w:pPr>
        <w:ind w:left="420"/>
      </w:pPr>
      <w:r>
        <w:t xml:space="preserve">3. Zuführungen zur Zuteilungsmasse,</w:t>
      </w:r>
    </w:p>
    <w:p>
      <w:pPr>
        <w:ind w:left="420"/>
      </w:pPr>
      <w:r>
        <w:t xml:space="preserve">4. Zwischenanlagen der Mittel der Zuteilungsmasse,</w:t>
      </w:r>
    </w:p>
    <w:p>
      <w:pPr>
        <w:ind w:left="420"/>
      </w:pPr>
      <w:r>
        <w:t xml:space="preserve">5. Entnahmen aus der Zuteilungsmasse und</w:t>
      </w:r>
    </w:p>
    <w:p>
      <w:pPr>
        <w:ind w:left="420"/>
      </w:pPr>
      <w:r>
        <w:t xml:space="preserve">6. die aktuellen Forderungen aus Bauspardarlehen samt ihrer Besicherung</w:t>
      </w:r>
    </w:p>
    <w:p>
      <w:r>
        <w:t xml:space="preserve">zu berichten (kollektiver Lagebericht). Die Bausparkasse hat im Rahmen des kollektiven Lageberichts gesondert zur Erfüllbarkeit von längerfristigen Verbindlichkeiten Stellung zu nehmen. Der kollektive Lagebericht hat insbesondere Fortschreibungen über die erwartete Entwicklung des Bauspargeschäfts sowie Prognosen weiterer, im Zusammenhang mit dem Bauspargeschäft stehender betriebswirtschaftlicher Größen zu enthalten.</w:t>
      </w:r>
    </w:p>
    <w:p>
      <w:r>
        <w:t xml:space="preserve">(6) Liegen nach den Ergebnissen der von den Bausparkassen nach den Regelungen des § 8 Absatz 4 zu verwendenden bauspartechnischen Simulationsmodelle die Voraussetzungen des § 2 Absatz 1 Nummer 3 in Verbindung mit § 5 Absatz 4 nicht vor, so hat die Bausparkasse dies unverzüglich der Bundesanstalt anzuzeigen. Die Bausparkasse hat der Bundesanstalt zudem auf Anforderung aktuelle Ergebnisse eines bausparspezifischen Simulationsmodells vorzulegen, sofern dies zur Erfüllung der Aufgaben der Bundesanstalt erforderlich ist.</w:t>
      </w:r>
    </w:p>
    <w:p>
      <w:r>
        <w:rPr>
          <w:color w:val="555555"/>
          <w:sz w:val="17"/>
        </w:rPr>
        <w:t xml:space="preserve">Zitiervorschlag: § 3 BauSparkG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https://recht.nulegal.eu/gesetze/BauSparkG/3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